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rPr>
          <w:sz w:val="22"/>
          <w:szCs w:val="22"/>
        </w:rPr>
      </w:pPr>
    </w:p>
    <w:p>
      <w:pPr>
        <w:spacing w:line="360" w:lineRule="auto"/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>Molėtų rajono savivaldybės tarybos</w:t>
      </w:r>
    </w:p>
    <w:p>
      <w:pPr>
        <w:spacing w:line="360" w:lineRule="auto"/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 xml:space="preserve">2018 m. spalio  25  d. sprendimo </w:t>
      </w:r>
    </w:p>
    <w:p>
      <w:pPr>
        <w:spacing w:line="360" w:lineRule="auto"/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>Nr. B1-241</w:t>
      </w:r>
    </w:p>
    <w:p>
      <w:pPr>
        <w:spacing w:line="360" w:lineRule="auto"/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>
      <w:pPr>
        <w:ind w:firstLine="10773"/>
        <w:jc w:val="center"/>
        <w:rPr>
          <w:sz w:val="28"/>
          <w:szCs w:val="28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MOLĖTŲ RAJONO DAUGIABUČIŲ GYVENAMŲJŲ NAMŲ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MAKSIMALŪS TECHNINĖS PRIEŽIŪROS TARIFAI</w:t>
      </w:r>
    </w:p>
    <w:p>
      <w:pPr>
        <w:jc w:val="center"/>
        <w:rPr>
          <w:szCs w:val="24"/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363"/>
        <w:gridCol w:w="1230"/>
        <w:gridCol w:w="5695"/>
        <w:gridCol w:w="1376"/>
        <w:gridCol w:w="1843"/>
        <w:gridCol w:w="996"/>
        <w:gridCol w:w="1763"/>
      </w:tblGrid>
      <w:tr>
        <w:tc>
          <w:tcPr>
            <w:tcW w:w="897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Punkto  Nr.</w:t>
            </w:r>
          </w:p>
        </w:tc>
        <w:tc>
          <w:tcPr>
            <w:tcW w:w="1363" w:type="dxa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Namo naudingas plotas, </w:t>
            </w:r>
          </w:p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kv. m</w:t>
            </w:r>
          </w:p>
        </w:tc>
        <w:tc>
          <w:tcPr>
            <w:tcW w:w="123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Papunkčio Nr.</w:t>
            </w:r>
          </w:p>
        </w:tc>
        <w:tc>
          <w:tcPr>
            <w:tcW w:w="5695" w:type="dxa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Namo ypatumai</w:t>
            </w:r>
          </w:p>
        </w:tc>
        <w:tc>
          <w:tcPr>
            <w:tcW w:w="1376" w:type="dxa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Pritaikytas namo techninės priežiūros ypatumų įvertinimo koeficientas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Tarifas </w:t>
            </w:r>
          </w:p>
          <w:p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 kv. m/mėn., eurais be PVM</w:t>
            </w:r>
          </w:p>
        </w:tc>
        <w:tc>
          <w:tcPr>
            <w:tcW w:w="996" w:type="dxa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PVM 21</w:t>
            </w:r>
            <w:r>
              <w:rPr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763" w:type="dxa"/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Tarifas </w:t>
            </w:r>
          </w:p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kv. m/mėn., eurais su PVM</w:t>
            </w:r>
          </w:p>
        </w:tc>
      </w:tr>
      <w:tr>
        <w:tc>
          <w:tcPr>
            <w:tcW w:w="897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95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6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6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>
        <w:tc>
          <w:tcPr>
            <w:tcW w:w="897" w:type="dxa"/>
            <w:vMerge w:val="restart"/>
          </w:tcPr>
          <w:p>
            <w:pPr>
              <w:tabs>
                <w:tab w:val="left" w:pos="466"/>
              </w:tabs>
              <w:ind w:left="2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  <w:tab/>
              <w:t xml:space="preserve"> </w:t>
            </w:r>
          </w:p>
        </w:tc>
        <w:tc>
          <w:tcPr>
            <w:tcW w:w="1363" w:type="dxa"/>
            <w:vMerge w:val="restart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Iki 1000</w:t>
            </w: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geriamojo vandens tiekimo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GB"/>
              </w:rPr>
              <w:t>,</w:t>
            </w:r>
            <w:r>
              <w:rPr>
                <w:szCs w:val="24"/>
              </w:rPr>
              <w:t>01511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0,00317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0,01828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Namas, kuriame neįrengta bendroji nuotekų šalinimo 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0,01511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0,00317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0,01828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elektros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0,01527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0,00321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0,01848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0,01527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0,00321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0,01848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0,01558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0,00327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0,01885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1,01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0,01574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0,00331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0,01905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0,01792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0,00376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0,02168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Bendrabučio tipo namas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0,01792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0,00376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0,02168</w:t>
            </w:r>
          </w:p>
        </w:tc>
      </w:tr>
      <w:tr>
        <w:tc>
          <w:tcPr>
            <w:tcW w:w="897" w:type="dxa"/>
            <w:vMerge w:val="restart"/>
          </w:tcPr>
          <w:p>
            <w:pPr>
              <w:tabs>
                <w:tab w:val="left" w:pos="466"/>
              </w:tabs>
              <w:ind w:left="2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  <w:tab/>
            </w:r>
          </w:p>
        </w:tc>
        <w:tc>
          <w:tcPr>
            <w:tcW w:w="1363" w:type="dxa"/>
            <w:vMerge w:val="restart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1001 iki 2000</w:t>
            </w: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geriamojo vandens tiekimo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0,01778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0,02151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Namas, kuriame neįrengta bendroji nuotekų šalinimo 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0,01778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0,02151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elektros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0,01796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0,02173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0,01796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0,00377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0,02173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0,01833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0,00385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0,02218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1,01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0,01851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0,00389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0,02240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2.7.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0,02108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0,00443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0,02551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Bendrabučio tipo namas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0,02108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0,00443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0,02551</w:t>
            </w:r>
          </w:p>
        </w:tc>
      </w:tr>
      <w:tr>
        <w:tc>
          <w:tcPr>
            <w:tcW w:w="897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5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6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63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>
        <w:tc>
          <w:tcPr>
            <w:tcW w:w="897" w:type="dxa"/>
            <w:vMerge w:val="restart"/>
          </w:tcPr>
          <w:p>
            <w:pPr>
              <w:tabs>
                <w:tab w:val="left" w:pos="466"/>
              </w:tabs>
              <w:ind w:left="2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  <w:tab/>
            </w:r>
          </w:p>
        </w:tc>
        <w:tc>
          <w:tcPr>
            <w:tcW w:w="1363" w:type="dxa"/>
            <w:vMerge w:val="restart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2001 iki 5000</w:t>
            </w: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geriamojo vandens tiekimo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0,02045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0,00429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0,02474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Namas, kuriame neįrengta bendroji nuotekų šalinimo 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0,02045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0,00429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0,02474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neįrengta bendroji elektros inžinerinė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0,02066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0,00343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0,02500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3.4.</w:t>
              <w:tab/>
            </w:r>
          </w:p>
        </w:tc>
        <w:tc>
          <w:tcPr>
            <w:tcW w:w="5695" w:type="dxa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0,02066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0,00434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0,02500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0,02108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0,00443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0,02551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3.6.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1,01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0,02129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0,00447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0,02576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3.7.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0,02424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0,00509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0,02933</w:t>
            </w:r>
          </w:p>
        </w:tc>
      </w:tr>
      <w:tr>
        <w:tc>
          <w:tcPr>
            <w:tcW w:w="897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vMerge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</w:tcPr>
          <w:p>
            <w:pPr>
              <w:tabs>
                <w:tab w:val="left" w:pos="46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3.8.</w:t>
              <w:tab/>
            </w:r>
          </w:p>
        </w:tc>
        <w:tc>
          <w:tcPr>
            <w:tcW w:w="569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Bendrabučio tipo namas</w:t>
            </w:r>
          </w:p>
        </w:tc>
        <w:tc>
          <w:tcPr>
            <w:tcW w:w="137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0,02424</w:t>
            </w:r>
          </w:p>
        </w:tc>
        <w:tc>
          <w:tcPr>
            <w:tcW w:w="9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0,00509</w:t>
            </w:r>
          </w:p>
        </w:tc>
        <w:tc>
          <w:tcPr>
            <w:tcW w:w="176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0,02933</w:t>
            </w:r>
          </w:p>
        </w:tc>
      </w:tr>
    </w:tbl>
    <w:p>
      <w:pPr>
        <w:jc w:val="center"/>
        <w:rPr>
          <w:szCs w:val="24"/>
        </w:rPr>
      </w:pPr>
    </w:p>
    <w:p>
      <w:pPr>
        <w:ind w:firstLine="720"/>
        <w:jc w:val="both"/>
        <w:rPr>
          <w:szCs w:val="24"/>
        </w:rPr>
      </w:pPr>
      <w:r>
        <w:rPr>
          <w:szCs w:val="24"/>
        </w:rPr>
        <w:t>PASTABA: kai daugiabutis namas turi ne vieną, o keletą techninės priežiūros ypatumų, taikoma lentelės 5 stulpelyje nurodytų koeficientų sandauga.</w:t>
      </w:r>
    </w:p>
    <w:p>
      <w:pPr>
        <w:jc w:val="both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_________________________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021" w:bottom="284" w:left="102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CC016D2-2BB7-4FE4-A248-D25661CB314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2435</Characters>
  <Application>Microsoft Office Word</Application>
  <DocSecurity>4</DocSecurity>
  <Lines>270</Lines>
  <Paragraphs>217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2022-04-05T10:46:00Z</dcterms:created>
  <dc:creator>Zita-PC</dc:creator>
  <lastModifiedBy>adlibuser</lastModifiedBy>
  <dcterms:modified xsi:type="dcterms:W3CDTF">2022-04-05T10:46:00Z</dcterms:modified>
  <revision>2</revision>
</coreProperties>
</file>