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DFB1" w14:textId="77777777" w:rsidR="000C2A99" w:rsidRDefault="000C2A99" w:rsidP="00450B7A">
      <w:pPr>
        <w:tabs>
          <w:tab w:val="left" w:pos="4680"/>
        </w:tabs>
        <w:ind w:left="7920"/>
        <w:jc w:val="both"/>
        <w:rPr>
          <w:snapToGrid w:val="0"/>
          <w:sz w:val="20"/>
          <w:szCs w:val="20"/>
        </w:rPr>
      </w:pPr>
      <w:bookmarkStart w:id="0" w:name="_GoBack"/>
      <w:bookmarkEnd w:id="0"/>
    </w:p>
    <w:p w14:paraId="29255E32" w14:textId="77777777" w:rsidR="00B97E02" w:rsidRPr="0043313C" w:rsidRDefault="00B97E02" w:rsidP="00B97E02">
      <w:pPr>
        <w:tabs>
          <w:tab w:val="left" w:pos="4680"/>
        </w:tabs>
        <w:ind w:left="7920"/>
        <w:jc w:val="both"/>
        <w:rPr>
          <w:snapToGrid w:val="0"/>
        </w:rPr>
      </w:pPr>
      <w:r>
        <w:rPr>
          <w:snapToGrid w:val="0"/>
        </w:rPr>
        <w:t xml:space="preserve">                                    </w:t>
      </w:r>
      <w:r w:rsidRPr="0043313C">
        <w:rPr>
          <w:snapToGrid w:val="0"/>
        </w:rPr>
        <w:t xml:space="preserve">Jaunimo organizacijų stiprinimo </w:t>
      </w:r>
    </w:p>
    <w:p w14:paraId="199B764A" w14:textId="77777777" w:rsidR="00B97E02" w:rsidRPr="0043313C" w:rsidRDefault="00B97E02" w:rsidP="00B97E02">
      <w:pPr>
        <w:tabs>
          <w:tab w:val="left" w:pos="4680"/>
        </w:tabs>
        <w:ind w:left="7920"/>
        <w:jc w:val="both"/>
        <w:rPr>
          <w:snapToGrid w:val="0"/>
        </w:rPr>
      </w:pPr>
      <w:r w:rsidRPr="0043313C">
        <w:rPr>
          <w:snapToGrid w:val="0"/>
        </w:rPr>
        <w:tab/>
      </w:r>
      <w:r w:rsidRPr="0043313C">
        <w:rPr>
          <w:snapToGrid w:val="0"/>
        </w:rPr>
        <w:tab/>
      </w:r>
      <w:r w:rsidRPr="0043313C">
        <w:rPr>
          <w:snapToGrid w:val="0"/>
        </w:rPr>
        <w:tab/>
        <w:t xml:space="preserve">programų finansavimo 2017–2018 metais </w:t>
      </w:r>
    </w:p>
    <w:p w14:paraId="7C15AB5A" w14:textId="77777777" w:rsidR="00B97E02" w:rsidRPr="0043313C" w:rsidRDefault="00B97E02" w:rsidP="00B97E02">
      <w:pPr>
        <w:tabs>
          <w:tab w:val="left" w:pos="4680"/>
        </w:tabs>
        <w:ind w:left="7920"/>
        <w:jc w:val="both"/>
        <w:rPr>
          <w:snapToGrid w:val="0"/>
        </w:rPr>
      </w:pPr>
      <w:r w:rsidRPr="0043313C">
        <w:rPr>
          <w:snapToGrid w:val="0"/>
        </w:rPr>
        <w:tab/>
      </w:r>
      <w:r w:rsidRPr="0043313C">
        <w:rPr>
          <w:snapToGrid w:val="0"/>
        </w:rPr>
        <w:tab/>
      </w:r>
      <w:r w:rsidRPr="0043313C">
        <w:rPr>
          <w:snapToGrid w:val="0"/>
        </w:rPr>
        <w:tab/>
        <w:t>konkurso nuostatų</w:t>
      </w:r>
    </w:p>
    <w:p w14:paraId="665B9DEB" w14:textId="77777777" w:rsidR="00B97E02" w:rsidRPr="0043313C" w:rsidRDefault="00B97E02" w:rsidP="00B97E02">
      <w:pPr>
        <w:tabs>
          <w:tab w:val="left" w:pos="9639"/>
          <w:tab w:val="left" w:pos="10065"/>
        </w:tabs>
        <w:ind w:left="9923" w:right="-1"/>
      </w:pPr>
      <w:r w:rsidRPr="0043313C">
        <w:tab/>
      </w:r>
      <w:r w:rsidRPr="0043313C">
        <w:tab/>
        <w:t xml:space="preserve">3 priedas </w:t>
      </w:r>
    </w:p>
    <w:p w14:paraId="63C634E2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45E7AD40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63EE4059" w14:textId="63CD4FF2" w:rsidR="00B97E02" w:rsidRPr="003C2E17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3C2E17">
        <w:rPr>
          <w:b/>
          <w:szCs w:val="22"/>
        </w:rPr>
        <w:t>(</w:t>
      </w:r>
      <w:r w:rsidR="000618DB" w:rsidRPr="003C2E17">
        <w:rPr>
          <w:b/>
          <w:szCs w:val="22"/>
        </w:rPr>
        <w:t>P</w:t>
      </w:r>
      <w:r w:rsidRPr="003C2E17">
        <w:rPr>
          <w:b/>
          <w:szCs w:val="22"/>
        </w:rPr>
        <w:t>rogramos turinio ir lėšų planavimo įvertinimo forma)</w:t>
      </w:r>
    </w:p>
    <w:p w14:paraId="462776D7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7306EE25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6BEAEBB0" w14:textId="77777777" w:rsidR="00B97E02" w:rsidRDefault="00B97E02" w:rsidP="003C2E17">
      <w:pPr>
        <w:spacing w:line="276" w:lineRule="auto"/>
        <w:jc w:val="center"/>
        <w:outlineLvl w:val="0"/>
        <w:rPr>
          <w:b/>
        </w:rPr>
      </w:pPr>
      <w:r w:rsidRPr="00567789">
        <w:rPr>
          <w:b/>
        </w:rPr>
        <w:t xml:space="preserve">JAUNIMO ORGANIZACIJŲ STIPRINIMO PROGRAMŲ FINANSAVIMO </w:t>
      </w:r>
      <w:r>
        <w:rPr>
          <w:b/>
        </w:rPr>
        <w:t>2017–2018</w:t>
      </w:r>
      <w:r w:rsidRPr="00567789">
        <w:rPr>
          <w:b/>
        </w:rPr>
        <w:t xml:space="preserve"> METAIS </w:t>
      </w:r>
    </w:p>
    <w:p w14:paraId="2E60AEA8" w14:textId="77777777" w:rsidR="00B97E02" w:rsidRPr="00450B7A" w:rsidRDefault="00B97E02" w:rsidP="003C2E17">
      <w:pPr>
        <w:spacing w:line="276" w:lineRule="auto"/>
        <w:jc w:val="center"/>
        <w:outlineLvl w:val="0"/>
        <w:rPr>
          <w:b/>
        </w:rPr>
      </w:pPr>
      <w:r w:rsidRPr="00567789">
        <w:rPr>
          <w:b/>
          <w:caps/>
        </w:rPr>
        <w:t>KONKURSUI PATEIKTOS programOS TURINIO IR LĖŠŲ PLANAVIMO Įvertinimas</w:t>
      </w:r>
    </w:p>
    <w:p w14:paraId="4E193647" w14:textId="77777777" w:rsidR="00B97E02" w:rsidRPr="00215FB4" w:rsidRDefault="00B97E02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D217AC" w14:paraId="26C29496" w14:textId="77777777" w:rsidTr="00333F16">
        <w:tc>
          <w:tcPr>
            <w:tcW w:w="4820" w:type="dxa"/>
            <w:tcBorders>
              <w:bottom w:val="single" w:sz="4" w:space="0" w:color="auto"/>
            </w:tcBorders>
          </w:tcPr>
          <w:p w14:paraId="38441411" w14:textId="77777777"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D217AC" w14:paraId="3682B149" w14:textId="77777777" w:rsidTr="00333F16">
        <w:tc>
          <w:tcPr>
            <w:tcW w:w="4820" w:type="dxa"/>
            <w:tcBorders>
              <w:top w:val="single" w:sz="4" w:space="0" w:color="auto"/>
            </w:tcBorders>
          </w:tcPr>
          <w:p w14:paraId="11CB121E" w14:textId="77777777"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  <w:szCs w:val="20"/>
              </w:rPr>
              <w:t>(data)</w:t>
            </w:r>
          </w:p>
        </w:tc>
      </w:tr>
    </w:tbl>
    <w:p w14:paraId="4ED813B0" w14:textId="77777777" w:rsidR="00B97E02" w:rsidRPr="00573D38" w:rsidRDefault="00B97E02" w:rsidP="00B97E02">
      <w:pPr>
        <w:jc w:val="center"/>
        <w:rPr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B97E02" w:rsidRPr="00D217AC" w14:paraId="21DE3677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52781C6E" w14:textId="77777777" w:rsidR="00B97E02" w:rsidRPr="000618DB" w:rsidRDefault="00B97E02" w:rsidP="00333F16">
            <w:pPr>
              <w:ind w:left="72" w:hanging="72"/>
              <w:rPr>
                <w:b/>
              </w:rPr>
            </w:pPr>
            <w:r w:rsidRPr="000618DB">
              <w:rPr>
                <w:b/>
                <w:szCs w:val="22"/>
              </w:rPr>
              <w:t>Paraiškos numeris</w:t>
            </w:r>
          </w:p>
        </w:tc>
        <w:tc>
          <w:tcPr>
            <w:tcW w:w="10920" w:type="dxa"/>
          </w:tcPr>
          <w:p w14:paraId="64E78B77" w14:textId="77777777" w:rsidR="00B97E02" w:rsidRPr="00D217AC" w:rsidRDefault="00B97E02" w:rsidP="00333F16">
            <w:r w:rsidRPr="00D012AA">
              <w:t>1P-</w:t>
            </w:r>
            <w:proofErr w:type="gramStart"/>
            <w:r w:rsidRPr="00D012AA">
              <w:t xml:space="preserve">       </w:t>
            </w:r>
            <w:proofErr w:type="gramEnd"/>
            <w:r w:rsidRPr="00D012AA">
              <w:t>-        - (5.6)</w:t>
            </w:r>
          </w:p>
        </w:tc>
      </w:tr>
      <w:tr w:rsidR="00B97E02" w:rsidRPr="00D217AC" w14:paraId="55BB48A9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64DC2BB9" w14:textId="77777777" w:rsidR="00B97E02" w:rsidRPr="000618DB" w:rsidRDefault="00B97E02" w:rsidP="00333F16">
            <w:pPr>
              <w:rPr>
                <w:b/>
              </w:rPr>
            </w:pPr>
            <w:r w:rsidRPr="000618DB">
              <w:rPr>
                <w:b/>
                <w:szCs w:val="22"/>
              </w:rPr>
              <w:t>Pareiškėjo pavadinimas</w:t>
            </w:r>
          </w:p>
        </w:tc>
        <w:tc>
          <w:tcPr>
            <w:tcW w:w="10920" w:type="dxa"/>
          </w:tcPr>
          <w:p w14:paraId="6D8656C2" w14:textId="77777777" w:rsidR="00B97E02" w:rsidRPr="00D217AC" w:rsidRDefault="00B97E02" w:rsidP="00333F16"/>
        </w:tc>
      </w:tr>
      <w:tr w:rsidR="00B97E02" w:rsidRPr="00D217AC" w14:paraId="2062394E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0CDF62B9" w14:textId="77777777" w:rsidR="00B97E02" w:rsidRPr="000618DB" w:rsidRDefault="00B97E02" w:rsidP="00333F16">
            <w:pPr>
              <w:rPr>
                <w:b/>
              </w:rPr>
            </w:pPr>
            <w:r w:rsidRPr="000618DB">
              <w:rPr>
                <w:b/>
                <w:szCs w:val="22"/>
              </w:rPr>
              <w:t>Programos pavadinimas</w:t>
            </w:r>
          </w:p>
        </w:tc>
        <w:tc>
          <w:tcPr>
            <w:tcW w:w="10920" w:type="dxa"/>
          </w:tcPr>
          <w:p w14:paraId="70DB1930" w14:textId="77777777" w:rsidR="00B97E02" w:rsidRPr="00D217AC" w:rsidRDefault="00B97E02" w:rsidP="00333F16"/>
        </w:tc>
      </w:tr>
      <w:tr w:rsidR="00B97E02" w:rsidRPr="00D217AC" w14:paraId="4BAB629A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733D2A58" w14:textId="77777777" w:rsidR="00B97E02" w:rsidRPr="000618DB" w:rsidRDefault="00B97E02" w:rsidP="00333F16">
            <w:pPr>
              <w:rPr>
                <w:b/>
              </w:rPr>
            </w:pPr>
            <w:r w:rsidRPr="000618DB">
              <w:rPr>
                <w:b/>
                <w:szCs w:val="22"/>
              </w:rPr>
              <w:t>Vertintojas</w:t>
            </w:r>
          </w:p>
        </w:tc>
        <w:tc>
          <w:tcPr>
            <w:tcW w:w="10920" w:type="dxa"/>
          </w:tcPr>
          <w:p w14:paraId="0C8E56FA" w14:textId="77777777" w:rsidR="00B97E02" w:rsidRPr="00D217AC" w:rsidRDefault="00B97E02" w:rsidP="00333F16"/>
        </w:tc>
      </w:tr>
    </w:tbl>
    <w:p w14:paraId="08F2871D" w14:textId="77777777" w:rsidR="00B97E02" w:rsidRPr="00573D38" w:rsidRDefault="00B97E02" w:rsidP="00B97E02">
      <w:pPr>
        <w:shd w:val="clear" w:color="auto" w:fill="FFFFFF"/>
        <w:rPr>
          <w:b/>
          <w:color w:val="000000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32"/>
        <w:gridCol w:w="2250"/>
        <w:gridCol w:w="2048"/>
        <w:gridCol w:w="2760"/>
      </w:tblGrid>
      <w:tr w:rsidR="00A140B1" w:rsidRPr="00A75116" w14:paraId="45FDD5AD" w14:textId="77777777" w:rsidTr="00A140B1">
        <w:trPr>
          <w:trHeight w:val="62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14:paraId="5B361CDB" w14:textId="18D15D50" w:rsidR="00A140B1" w:rsidRPr="002031DC" w:rsidRDefault="00A140B1" w:rsidP="00A140B1">
            <w:pPr>
              <w:pStyle w:val="Sraopastraipa"/>
              <w:numPr>
                <w:ilvl w:val="0"/>
                <w:numId w:val="5"/>
              </w:numPr>
              <w:ind w:left="435" w:hanging="435"/>
              <w:rPr>
                <w:lang w:val="lt-LT"/>
              </w:rPr>
            </w:pPr>
            <w:r w:rsidRPr="002031DC">
              <w:rPr>
                <w:b/>
                <w:lang w:val="lt-LT"/>
              </w:rPr>
              <w:t xml:space="preserve">Programos atitiktis privalomosioms sąlygoms </w:t>
            </w:r>
            <w:r w:rsidRPr="002031DC">
              <w:rPr>
                <w:i/>
                <w:lang w:val="lt-LT"/>
              </w:rPr>
              <w:t xml:space="preserve">(vertinama remiantis </w:t>
            </w:r>
            <w:r w:rsidR="001C67B1" w:rsidRPr="002031DC">
              <w:rPr>
                <w:i/>
                <w:lang w:val="lt-LT"/>
              </w:rPr>
              <w:t>p</w:t>
            </w:r>
            <w:r w:rsidRPr="002031DC">
              <w:rPr>
                <w:i/>
                <w:lang w:val="lt-LT"/>
              </w:rPr>
              <w:t>araiška ir Jaunimo organizacijų stiprinimo programų finansavimo 2017–2018 metais konkurso nuostatų (toliau – Nuostatai) 20.2</w:t>
            </w:r>
            <w:r w:rsidRPr="002031DC">
              <w:rPr>
                <w:bCs/>
                <w:i/>
                <w:lang w:val="lt-LT"/>
              </w:rPr>
              <w:t>–</w:t>
            </w:r>
            <w:r w:rsidRPr="002031DC">
              <w:rPr>
                <w:i/>
                <w:lang w:val="lt-LT"/>
              </w:rPr>
              <w:t>20.3 papunkčiuose nurodytais dokumentais)</w:t>
            </w:r>
          </w:p>
        </w:tc>
      </w:tr>
      <w:tr w:rsidR="00A140B1" w:rsidRPr="00A75116" w14:paraId="5007178B" w14:textId="77777777" w:rsidTr="00A140B1">
        <w:trPr>
          <w:trHeight w:val="750"/>
        </w:trPr>
        <w:tc>
          <w:tcPr>
            <w:tcW w:w="630" w:type="dxa"/>
            <w:shd w:val="clear" w:color="auto" w:fill="F2F2F2" w:themeFill="background1" w:themeFillShade="F2"/>
          </w:tcPr>
          <w:p w14:paraId="35FB18B4" w14:textId="77777777" w:rsidR="00A140B1" w:rsidRPr="00A75116" w:rsidRDefault="00A140B1" w:rsidP="00A140B1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Eil. Nr.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7CEF7679" w14:textId="67D99FB8" w:rsidR="00A140B1" w:rsidRPr="00A75116" w:rsidRDefault="00A140B1" w:rsidP="00A140B1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Privalomos</w:t>
            </w:r>
            <w:r w:rsidR="001C67B1">
              <w:rPr>
                <w:b/>
                <w:szCs w:val="22"/>
                <w:lang w:val="lt-LT"/>
              </w:rPr>
              <w:t>ios</w:t>
            </w:r>
            <w:r>
              <w:rPr>
                <w:b/>
                <w:szCs w:val="22"/>
                <w:lang w:val="lt-LT"/>
              </w:rPr>
              <w:t xml:space="preserve"> sąlygos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9A0EBEF" w14:textId="77777777"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 xml:space="preserve">Taip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7D87D98E" w14:textId="77777777"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Ne</w:t>
            </w:r>
            <w:r w:rsidRPr="00A75116">
              <w:rPr>
                <w:b/>
                <w:sz w:val="22"/>
                <w:szCs w:val="22"/>
              </w:rPr>
              <w:t xml:space="preserve">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14:paraId="5FB22375" w14:textId="77777777"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Pastabos</w:t>
            </w:r>
          </w:p>
        </w:tc>
      </w:tr>
      <w:tr w:rsidR="00CA489F" w:rsidRPr="00A75116" w14:paraId="01E1FE23" w14:textId="77777777" w:rsidTr="00587930">
        <w:trPr>
          <w:trHeight w:val="917"/>
        </w:trPr>
        <w:tc>
          <w:tcPr>
            <w:tcW w:w="630" w:type="dxa"/>
            <w:shd w:val="clear" w:color="auto" w:fill="F2F2F2" w:themeFill="background1" w:themeFillShade="F2"/>
          </w:tcPr>
          <w:p w14:paraId="3B1F19BF" w14:textId="77777777" w:rsidR="00CA489F" w:rsidRPr="00A75116" w:rsidRDefault="00CA489F" w:rsidP="00F51DE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A75116">
              <w:t>1.1.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332B7D98" w14:textId="77777777" w:rsidR="00CA489F" w:rsidRPr="002031DC" w:rsidRDefault="00CA489F" w:rsidP="00587930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jc w:val="both"/>
            </w:pPr>
            <w:r w:rsidRPr="002031DC">
              <w:rPr>
                <w:color w:val="000000"/>
              </w:rPr>
              <w:t xml:space="preserve">Veiklos suplanuotos nuosekliai, logiškai, racionaliai ir yra skirtos pareiškėjo strateginiame veiklos plane </w:t>
            </w:r>
            <w:r w:rsidRPr="002031DC">
              <w:t>suformuluotai misijai, strateginiams pokyčiams ir (ar) strateginiams tikslams</w:t>
            </w:r>
            <w:r w:rsidRPr="002031DC">
              <w:rPr>
                <w:color w:val="000000"/>
              </w:rPr>
              <w:t xml:space="preserve"> įgyvendinti</w:t>
            </w:r>
          </w:p>
        </w:tc>
        <w:tc>
          <w:tcPr>
            <w:tcW w:w="2250" w:type="dxa"/>
          </w:tcPr>
          <w:p w14:paraId="267DF574" w14:textId="77777777" w:rsidR="00CA489F" w:rsidRPr="00A75116" w:rsidRDefault="00CA489F" w:rsidP="00333F16"/>
        </w:tc>
        <w:tc>
          <w:tcPr>
            <w:tcW w:w="2048" w:type="dxa"/>
          </w:tcPr>
          <w:p w14:paraId="493E36AF" w14:textId="77777777" w:rsidR="00CA489F" w:rsidRPr="00A75116" w:rsidRDefault="00CA489F" w:rsidP="00333F16"/>
        </w:tc>
        <w:tc>
          <w:tcPr>
            <w:tcW w:w="2760" w:type="dxa"/>
          </w:tcPr>
          <w:p w14:paraId="72C4C5B7" w14:textId="77777777" w:rsidR="00CA489F" w:rsidRPr="00A75116" w:rsidRDefault="00CA489F" w:rsidP="00333F16"/>
        </w:tc>
      </w:tr>
      <w:tr w:rsidR="00CA489F" w:rsidRPr="00A75116" w14:paraId="34E1C433" w14:textId="77777777" w:rsidTr="00587930">
        <w:trPr>
          <w:trHeight w:val="620"/>
        </w:trPr>
        <w:tc>
          <w:tcPr>
            <w:tcW w:w="630" w:type="dxa"/>
            <w:shd w:val="clear" w:color="auto" w:fill="F2F2F2" w:themeFill="background1" w:themeFillShade="F2"/>
          </w:tcPr>
          <w:p w14:paraId="55DF338B" w14:textId="77777777" w:rsidR="00CA489F" w:rsidRPr="00A75116" w:rsidRDefault="00CA489F" w:rsidP="00333F16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 w:rsidRPr="00A75116">
              <w:rPr>
                <w:lang w:val="lt-LT"/>
              </w:rPr>
              <w:t>1.2.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6EC9497E" w14:textId="32F58527" w:rsidR="00CA489F" w:rsidRPr="002031DC" w:rsidRDefault="00712D48" w:rsidP="00587930">
            <w:pPr>
              <w:pStyle w:val="Sraopastraipa"/>
              <w:autoSpaceDE w:val="0"/>
              <w:autoSpaceDN w:val="0"/>
              <w:ind w:left="0"/>
              <w:jc w:val="both"/>
              <w:rPr>
                <w:lang w:val="lt-LT"/>
              </w:rPr>
            </w:pPr>
            <w:r w:rsidRPr="002031DC">
              <w:rPr>
                <w:color w:val="000000"/>
                <w:lang w:val="lt-LT"/>
              </w:rPr>
              <w:t>Veiklos suplanuotos atsižvelgiant į 2015–2016 metų veiklų analizę (įvertinimą ir (ar) įsivertinimą)</w:t>
            </w:r>
          </w:p>
        </w:tc>
        <w:tc>
          <w:tcPr>
            <w:tcW w:w="2250" w:type="dxa"/>
          </w:tcPr>
          <w:p w14:paraId="3B154A21" w14:textId="77777777" w:rsidR="00CA489F" w:rsidRPr="008B68C0" w:rsidRDefault="00CA489F" w:rsidP="00877EF9">
            <w:pPr>
              <w:pStyle w:val="Sraopastraipa"/>
              <w:rPr>
                <w:lang w:val="lt-LT"/>
              </w:rPr>
            </w:pPr>
          </w:p>
        </w:tc>
        <w:tc>
          <w:tcPr>
            <w:tcW w:w="2048" w:type="dxa"/>
          </w:tcPr>
          <w:p w14:paraId="3AC9A86F" w14:textId="77777777" w:rsidR="00CA489F" w:rsidRPr="00A75116" w:rsidRDefault="00CA489F" w:rsidP="00333F16"/>
        </w:tc>
        <w:tc>
          <w:tcPr>
            <w:tcW w:w="2760" w:type="dxa"/>
          </w:tcPr>
          <w:p w14:paraId="654F78FF" w14:textId="77777777" w:rsidR="00CA489F" w:rsidRPr="00A75116" w:rsidRDefault="00CA489F" w:rsidP="00333F16"/>
        </w:tc>
      </w:tr>
      <w:tr w:rsidR="00B97E02" w:rsidRPr="00A75116" w14:paraId="6B2EF235" w14:textId="77777777" w:rsidTr="00333F16">
        <w:trPr>
          <w:trHeight w:val="35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14:paraId="5430B224" w14:textId="100200C3" w:rsidR="00B97E02" w:rsidRPr="002031DC" w:rsidRDefault="00B97E02" w:rsidP="00333F16">
            <w:r w:rsidRPr="002031DC">
              <w:rPr>
                <w:b/>
                <w:szCs w:val="22"/>
              </w:rPr>
              <w:t>Bent vienos privalomos</w:t>
            </w:r>
            <w:r w:rsidR="001C67B1" w:rsidRPr="002031DC">
              <w:rPr>
                <w:b/>
                <w:szCs w:val="22"/>
              </w:rPr>
              <w:t>ios</w:t>
            </w:r>
            <w:r w:rsidRPr="002031DC">
              <w:rPr>
                <w:b/>
                <w:szCs w:val="22"/>
              </w:rPr>
              <w:t xml:space="preserve"> sąlygos neatitinkanti programa toliau nevertinama</w:t>
            </w:r>
          </w:p>
        </w:tc>
      </w:tr>
    </w:tbl>
    <w:p w14:paraId="030EC103" w14:textId="3E994C1E" w:rsidR="00B97E02" w:rsidRDefault="00B97E02" w:rsidP="00B97E02">
      <w:pPr>
        <w:rPr>
          <w:sz w:val="16"/>
          <w:szCs w:val="16"/>
        </w:rPr>
      </w:pPr>
    </w:p>
    <w:p w14:paraId="1A09EE72" w14:textId="77777777" w:rsidR="00573D38" w:rsidRPr="00A75116" w:rsidRDefault="00573D38" w:rsidP="00B97E02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80"/>
        <w:gridCol w:w="5040"/>
        <w:gridCol w:w="3240"/>
        <w:gridCol w:w="1260"/>
        <w:gridCol w:w="2100"/>
      </w:tblGrid>
      <w:tr w:rsidR="003659D8" w:rsidRPr="00A75116" w14:paraId="2ABCF914" w14:textId="77777777" w:rsidTr="000A3546">
        <w:trPr>
          <w:trHeight w:val="364"/>
          <w:tblHeader/>
        </w:trPr>
        <w:tc>
          <w:tcPr>
            <w:tcW w:w="14520" w:type="dxa"/>
            <w:gridSpan w:val="6"/>
            <w:shd w:val="clear" w:color="auto" w:fill="F2F2F2" w:themeFill="background1" w:themeFillShade="F2"/>
          </w:tcPr>
          <w:p w14:paraId="680F36FA" w14:textId="77777777" w:rsidR="003659D8" w:rsidRPr="008B68C0" w:rsidRDefault="003659D8" w:rsidP="00192910">
            <w:pPr>
              <w:pStyle w:val="Sraopastraipa"/>
              <w:numPr>
                <w:ilvl w:val="0"/>
                <w:numId w:val="5"/>
              </w:numPr>
              <w:ind w:left="435" w:hanging="435"/>
              <w:rPr>
                <w:b/>
                <w:lang w:val="lt-LT"/>
              </w:rPr>
            </w:pPr>
            <w:r w:rsidRPr="008B68C0">
              <w:rPr>
                <w:b/>
                <w:color w:val="000000"/>
                <w:lang w:val="lt-LT"/>
              </w:rPr>
              <w:lastRenderedPageBreak/>
              <w:t xml:space="preserve">Programos turinio vertinimo kriterijai </w:t>
            </w:r>
          </w:p>
        </w:tc>
      </w:tr>
      <w:tr w:rsidR="003659D8" w:rsidRPr="00A75116" w14:paraId="5841A5E3" w14:textId="77777777" w:rsidTr="00F02593">
        <w:trPr>
          <w:trHeight w:val="364"/>
          <w:tblHeader/>
        </w:trPr>
        <w:tc>
          <w:tcPr>
            <w:tcW w:w="2100" w:type="dxa"/>
            <w:shd w:val="clear" w:color="auto" w:fill="F2F2F2" w:themeFill="background1" w:themeFillShade="F2"/>
          </w:tcPr>
          <w:p w14:paraId="2EAC4018" w14:textId="77777777"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Vertinama sritis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2123ABAB" w14:textId="77777777" w:rsidR="003659D8" w:rsidRPr="00A75116" w:rsidRDefault="003659D8" w:rsidP="000E27C4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2031DC">
              <w:rPr>
                <w:b/>
                <w:szCs w:val="22"/>
              </w:rPr>
              <w:t>Eil. Nr.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707D7584" w14:textId="77777777"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Vertinimo kriterijai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8124437" w14:textId="77777777" w:rsidR="003659D8" w:rsidRPr="00A75116" w:rsidRDefault="003659D8" w:rsidP="00333F16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FCF9DD1" w14:textId="77777777"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2AE6185E" w14:textId="77777777"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3659D8" w:rsidRPr="00A75116" w14:paraId="34DEC033" w14:textId="77777777" w:rsidTr="00F02593">
        <w:trPr>
          <w:trHeight w:val="755"/>
        </w:trPr>
        <w:tc>
          <w:tcPr>
            <w:tcW w:w="2100" w:type="dxa"/>
            <w:shd w:val="clear" w:color="auto" w:fill="F2F2F2" w:themeFill="background1" w:themeFillShade="F2"/>
          </w:tcPr>
          <w:p w14:paraId="5176A694" w14:textId="3489FA63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Programos vadovas ir vykdytojai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4FE165DD" w14:textId="77777777" w:rsidR="003659D8" w:rsidRPr="002031DC" w:rsidRDefault="00F02593" w:rsidP="000E27C4">
            <w:pPr>
              <w:jc w:val="center"/>
            </w:pPr>
            <w:r w:rsidRPr="002031DC">
              <w:t>2.1.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150DB0EB" w14:textId="35810398" w:rsidR="003659D8" w:rsidRPr="002031DC" w:rsidRDefault="003659D8" w:rsidP="00587930">
            <w:pPr>
              <w:jc w:val="both"/>
              <w:rPr>
                <w:i/>
              </w:rPr>
            </w:pPr>
            <w:r w:rsidRPr="002031DC">
              <w:t>Ar turima programos vadovo ir pagrindinių vykdytojų patirt</w:t>
            </w:r>
            <w:r w:rsidR="000B2511">
              <w:t>is ir kompetencija yra pakankamos</w:t>
            </w:r>
            <w:r w:rsidRPr="002031DC">
              <w:t xml:space="preserve"> numatyt</w:t>
            </w:r>
            <w:r w:rsidR="001C67B1" w:rsidRPr="002031DC">
              <w:t>ai</w:t>
            </w:r>
            <w:r w:rsidRPr="002031DC">
              <w:t xml:space="preserve"> program</w:t>
            </w:r>
            <w:r w:rsidR="001C67B1" w:rsidRPr="002031DC">
              <w:t>ai sėkmingai</w:t>
            </w:r>
            <w:r w:rsidRPr="002031DC">
              <w:t xml:space="preserve"> įgyvendin</w:t>
            </w:r>
            <w:r w:rsidR="001C67B1" w:rsidRPr="002031DC">
              <w:t>ti</w:t>
            </w:r>
            <w:r w:rsidRPr="002031DC">
              <w:t xml:space="preserve">? 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948F4D9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2031DC">
              <w:rPr>
                <w:b/>
                <w:bCs/>
              </w:rPr>
              <w:t xml:space="preserve">, 1–2 – </w:t>
            </w:r>
            <w:r w:rsidRPr="002031DC">
              <w:rPr>
                <w:bCs/>
              </w:rPr>
              <w:t>iš dalies pakankama</w:t>
            </w:r>
            <w:r w:rsidRPr="002031DC">
              <w:rPr>
                <w:b/>
                <w:bCs/>
              </w:rPr>
              <w:t xml:space="preserve">,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pakankama</w:t>
            </w:r>
          </w:p>
        </w:tc>
        <w:tc>
          <w:tcPr>
            <w:tcW w:w="1260" w:type="dxa"/>
          </w:tcPr>
          <w:p w14:paraId="0EE5FBA2" w14:textId="77777777" w:rsidR="003659D8" w:rsidRPr="00A75116" w:rsidRDefault="003659D8" w:rsidP="00333F16"/>
        </w:tc>
        <w:tc>
          <w:tcPr>
            <w:tcW w:w="2100" w:type="dxa"/>
          </w:tcPr>
          <w:p w14:paraId="27F31E51" w14:textId="77777777" w:rsidR="003659D8" w:rsidRPr="00A75116" w:rsidRDefault="003659D8" w:rsidP="00333F16"/>
        </w:tc>
      </w:tr>
      <w:tr w:rsidR="003659D8" w:rsidRPr="00A75116" w14:paraId="76154902" w14:textId="77777777" w:rsidTr="00587930">
        <w:trPr>
          <w:trHeight w:val="575"/>
        </w:trPr>
        <w:tc>
          <w:tcPr>
            <w:tcW w:w="2100" w:type="dxa"/>
            <w:shd w:val="clear" w:color="auto" w:fill="F2F2F2" w:themeFill="background1" w:themeFillShade="F2"/>
          </w:tcPr>
          <w:p w14:paraId="608035E6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Programos partneriai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31A09C6F" w14:textId="77777777" w:rsidR="003659D8" w:rsidRPr="002031DC" w:rsidRDefault="00F02593" w:rsidP="000E27C4">
            <w:pPr>
              <w:jc w:val="center"/>
            </w:pPr>
            <w:r w:rsidRPr="002031DC">
              <w:t>2.2.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799E2D08" w14:textId="5031C6E0" w:rsidR="003659D8" w:rsidRPr="002031DC" w:rsidRDefault="003659D8" w:rsidP="00587930">
            <w:pPr>
              <w:jc w:val="both"/>
            </w:pPr>
            <w:r w:rsidRPr="002031DC">
              <w:t>Ar yra numatyti partneriai ir ar</w:t>
            </w:r>
            <w:r w:rsidR="008C502B" w:rsidRPr="002031DC">
              <w:t xml:space="preserve"> </w:t>
            </w:r>
            <w:r w:rsidRPr="002031DC">
              <w:t>jie</w:t>
            </w:r>
            <w:r w:rsidR="008C502B" w:rsidRPr="002031DC">
              <w:t xml:space="preserve"> </w:t>
            </w:r>
            <w:r w:rsidRPr="002031DC">
              <w:t xml:space="preserve">prisidės prie kiekybinių ir kokybinių programos rodiklių pasiekimo?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4327C86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 xml:space="preserve">1–2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iš dalies prisidės,</w:t>
            </w:r>
            <w:r w:rsidRPr="002031DC">
              <w:rPr>
                <w:b/>
                <w:bCs/>
              </w:rPr>
              <w:t xml:space="preserve"> </w:t>
            </w:r>
          </w:p>
          <w:p w14:paraId="5FDFFAD1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prisidės</w:t>
            </w:r>
          </w:p>
        </w:tc>
        <w:tc>
          <w:tcPr>
            <w:tcW w:w="1260" w:type="dxa"/>
          </w:tcPr>
          <w:p w14:paraId="2EA61179" w14:textId="77777777" w:rsidR="003659D8" w:rsidRPr="00A75116" w:rsidRDefault="003659D8" w:rsidP="00333F16"/>
        </w:tc>
        <w:tc>
          <w:tcPr>
            <w:tcW w:w="2100" w:type="dxa"/>
          </w:tcPr>
          <w:p w14:paraId="33F917DD" w14:textId="77777777" w:rsidR="003659D8" w:rsidRPr="00A75116" w:rsidRDefault="003659D8" w:rsidP="00333F16"/>
        </w:tc>
      </w:tr>
      <w:tr w:rsidR="003659D8" w:rsidRPr="00A75116" w14:paraId="6C69C40B" w14:textId="77777777" w:rsidTr="00587930">
        <w:trPr>
          <w:trHeight w:val="854"/>
        </w:trPr>
        <w:tc>
          <w:tcPr>
            <w:tcW w:w="2100" w:type="dxa"/>
            <w:shd w:val="clear" w:color="auto" w:fill="F2F2F2" w:themeFill="background1" w:themeFillShade="F2"/>
          </w:tcPr>
          <w:p w14:paraId="299EB5C2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Programos dalyviai</w:t>
            </w:r>
          </w:p>
          <w:p w14:paraId="48AF99D6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13AD6FBA" w14:textId="77777777" w:rsidR="003659D8" w:rsidRPr="002031DC" w:rsidRDefault="00F02593" w:rsidP="000E27C4">
            <w:pPr>
              <w:jc w:val="center"/>
            </w:pPr>
            <w:r w:rsidRPr="002031DC">
              <w:t>2.3.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7FA3E2E5" w14:textId="77777777" w:rsidR="003659D8" w:rsidRPr="002031DC" w:rsidRDefault="003659D8" w:rsidP="00587930">
            <w:pPr>
              <w:jc w:val="both"/>
            </w:pPr>
            <w:r w:rsidRPr="002031DC">
              <w:rPr>
                <w:snapToGrid w:val="0"/>
              </w:rPr>
              <w:t xml:space="preserve">Ar programoje numatyti įvairūs ir veiksmingi dalyvių pritraukimo būdai?  </w:t>
            </w:r>
          </w:p>
          <w:p w14:paraId="4D447176" w14:textId="77777777" w:rsidR="003659D8" w:rsidRPr="002031DC" w:rsidRDefault="003659D8" w:rsidP="00333F16">
            <w:r w:rsidRPr="002031DC">
              <w:rPr>
                <w:snapToGrid w:val="0"/>
              </w:rPr>
              <w:t xml:space="preserve">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5C1A8E3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>– ne,</w:t>
            </w:r>
            <w:proofErr w:type="gramStart"/>
            <w:r w:rsidRPr="002031DC">
              <w:rPr>
                <w:b/>
                <w:bCs/>
              </w:rPr>
              <w:t xml:space="preserve">  </w:t>
            </w:r>
            <w:proofErr w:type="gramEnd"/>
            <w:r w:rsidRPr="002031DC">
              <w:rPr>
                <w:b/>
                <w:bCs/>
              </w:rPr>
              <w:t>1–2</w:t>
            </w:r>
            <w:r w:rsidRPr="002031DC">
              <w:rPr>
                <w:bCs/>
              </w:rPr>
              <w:t xml:space="preserve"> – iš dalies įvairūs ir (ar) veiksmingi,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įvairūs ir veiksmingi</w:t>
            </w:r>
          </w:p>
        </w:tc>
        <w:tc>
          <w:tcPr>
            <w:tcW w:w="1260" w:type="dxa"/>
          </w:tcPr>
          <w:p w14:paraId="0178F153" w14:textId="77777777" w:rsidR="003659D8" w:rsidRPr="00A75116" w:rsidRDefault="003659D8" w:rsidP="00333F16"/>
        </w:tc>
        <w:tc>
          <w:tcPr>
            <w:tcW w:w="2100" w:type="dxa"/>
          </w:tcPr>
          <w:p w14:paraId="17CE9D00" w14:textId="77777777" w:rsidR="003659D8" w:rsidRPr="00A75116" w:rsidRDefault="003659D8" w:rsidP="00333F16"/>
        </w:tc>
      </w:tr>
      <w:tr w:rsidR="003659D8" w:rsidRPr="00A75116" w14:paraId="7D801EB6" w14:textId="77777777" w:rsidTr="00587930">
        <w:trPr>
          <w:trHeight w:val="602"/>
        </w:trPr>
        <w:tc>
          <w:tcPr>
            <w:tcW w:w="2100" w:type="dxa"/>
            <w:shd w:val="clear" w:color="auto" w:fill="F2F2F2" w:themeFill="background1" w:themeFillShade="F2"/>
          </w:tcPr>
          <w:p w14:paraId="3092C46F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Tikslai ir uždaviniai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09869DE2" w14:textId="77777777" w:rsidR="003659D8" w:rsidRPr="002031DC" w:rsidRDefault="00F02593" w:rsidP="000E27C4">
            <w:pPr>
              <w:jc w:val="center"/>
            </w:pPr>
            <w:r w:rsidRPr="002031DC">
              <w:t>2.4.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3AC7D" w14:textId="77777777" w:rsidR="003659D8" w:rsidRPr="002031DC" w:rsidRDefault="003659D8" w:rsidP="00587930">
            <w:pPr>
              <w:jc w:val="both"/>
            </w:pPr>
            <w:r w:rsidRPr="002031DC">
              <w:t xml:space="preserve">Kaip aiškiai suformuluoti programos tikslai ir uždaviniai?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DCF287" w14:textId="77777777" w:rsidR="003659D8" w:rsidRPr="002031DC" w:rsidRDefault="003659D8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nėra aiškūs,</w:t>
            </w:r>
            <w:r w:rsidRPr="002031DC">
              <w:rPr>
                <w:b/>
                <w:bCs/>
              </w:rPr>
              <w:t xml:space="preserve"> 1–2</w:t>
            </w:r>
            <w:r w:rsidRPr="002031DC">
              <w:rPr>
                <w:bCs/>
              </w:rPr>
              <w:t xml:space="preserve"> – iš dalies aiškūs,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aiškūs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510AF2" w14:textId="77777777" w:rsidR="003659D8" w:rsidRPr="00A75116" w:rsidRDefault="003659D8" w:rsidP="00333F16"/>
        </w:tc>
        <w:tc>
          <w:tcPr>
            <w:tcW w:w="2100" w:type="dxa"/>
            <w:tcBorders>
              <w:bottom w:val="single" w:sz="4" w:space="0" w:color="auto"/>
            </w:tcBorders>
          </w:tcPr>
          <w:p w14:paraId="511DC0F4" w14:textId="77777777" w:rsidR="003659D8" w:rsidRPr="00A75116" w:rsidRDefault="003659D8" w:rsidP="00333F16"/>
        </w:tc>
      </w:tr>
      <w:tr w:rsidR="003659D8" w:rsidRPr="00A75116" w14:paraId="2153BFDD" w14:textId="77777777" w:rsidTr="00587930">
        <w:trPr>
          <w:trHeight w:val="584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14:paraId="372736A9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Veiklos ir metodai</w:t>
            </w:r>
          </w:p>
          <w:p w14:paraId="7668C5B0" w14:textId="77777777" w:rsidR="003659D8" w:rsidRPr="002031DC" w:rsidRDefault="003659D8" w:rsidP="003659D8">
            <w:pPr>
              <w:rPr>
                <w:b/>
              </w:rPr>
            </w:pPr>
          </w:p>
          <w:p w14:paraId="2C74D80A" w14:textId="77777777" w:rsidR="003659D8" w:rsidRPr="002031DC" w:rsidRDefault="003659D8" w:rsidP="003659D8">
            <w:pPr>
              <w:rPr>
                <w:b/>
              </w:rPr>
            </w:pPr>
          </w:p>
          <w:p w14:paraId="1990CF14" w14:textId="77777777" w:rsidR="003659D8" w:rsidRPr="002031DC" w:rsidRDefault="003659D8" w:rsidP="003659D8">
            <w:pPr>
              <w:rPr>
                <w:b/>
              </w:rPr>
            </w:pPr>
          </w:p>
          <w:p w14:paraId="6364E4C4" w14:textId="77777777" w:rsidR="003659D8" w:rsidRPr="002031DC" w:rsidRDefault="003659D8" w:rsidP="003659D8">
            <w:pPr>
              <w:rPr>
                <w:i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30A91D61" w14:textId="77777777" w:rsidR="003659D8" w:rsidRPr="002031DC" w:rsidRDefault="00F02593" w:rsidP="000E27C4">
            <w:pPr>
              <w:jc w:val="center"/>
            </w:pPr>
            <w:r w:rsidRPr="002031DC">
              <w:t>2.5.</w:t>
            </w:r>
          </w:p>
          <w:p w14:paraId="62D8D479" w14:textId="77777777" w:rsidR="003659D8" w:rsidRPr="002031DC" w:rsidRDefault="003659D8" w:rsidP="000E27C4">
            <w:pPr>
              <w:jc w:val="center"/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14:paraId="335C15AD" w14:textId="77777777" w:rsidR="003659D8" w:rsidRPr="002031DC" w:rsidRDefault="003659D8" w:rsidP="00587930">
            <w:pPr>
              <w:jc w:val="both"/>
            </w:pPr>
            <w:r w:rsidRPr="002031DC">
              <w:t>Ar veiklų įvairovė pakankama programos tikslams įgyvendinti ir programos dalyvių poreikiams tenkinti?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EB86104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</w:tcPr>
          <w:p w14:paraId="326EC81F" w14:textId="77777777" w:rsidR="003659D8" w:rsidRPr="00A75116" w:rsidRDefault="003659D8" w:rsidP="00333F16"/>
        </w:tc>
        <w:tc>
          <w:tcPr>
            <w:tcW w:w="2100" w:type="dxa"/>
          </w:tcPr>
          <w:p w14:paraId="5F0015DE" w14:textId="77777777" w:rsidR="003659D8" w:rsidRPr="00A75116" w:rsidRDefault="003659D8" w:rsidP="00333F16"/>
        </w:tc>
      </w:tr>
      <w:tr w:rsidR="003659D8" w:rsidRPr="00A75116" w14:paraId="28B4D647" w14:textId="77777777" w:rsidTr="00587930">
        <w:trPr>
          <w:trHeight w:val="620"/>
        </w:trPr>
        <w:tc>
          <w:tcPr>
            <w:tcW w:w="2100" w:type="dxa"/>
            <w:vMerge/>
            <w:shd w:val="clear" w:color="auto" w:fill="F2F2F2" w:themeFill="background1" w:themeFillShade="F2"/>
          </w:tcPr>
          <w:p w14:paraId="24F44F70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4B984079" w14:textId="77777777" w:rsidR="003659D8" w:rsidRPr="002031DC" w:rsidRDefault="00F02593" w:rsidP="000E27C4">
            <w:pPr>
              <w:jc w:val="center"/>
            </w:pPr>
            <w:r w:rsidRPr="002031DC">
              <w:t>2.6.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2AEE320F" w14:textId="77777777" w:rsidR="003659D8" w:rsidRPr="002031DC" w:rsidRDefault="003659D8" w:rsidP="00587930">
            <w:pPr>
              <w:jc w:val="both"/>
              <w:rPr>
                <w:b/>
              </w:rPr>
            </w:pPr>
            <w:r w:rsidRPr="002031DC">
              <w:t xml:space="preserve">Ar programos </w:t>
            </w:r>
            <w:r w:rsidR="006129B8" w:rsidRPr="002031DC">
              <w:t xml:space="preserve">įgyvendinimo </w:t>
            </w:r>
            <w:r w:rsidRPr="002031DC">
              <w:t xml:space="preserve">metodai tinkamai parinkti numatomoms veikloms vykdyti?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F032399" w14:textId="68536B38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="00504A25" w:rsidRPr="002031DC">
              <w:rPr>
                <w:bCs/>
              </w:rPr>
              <w:t xml:space="preserve"> tinkamai parinkti</w:t>
            </w:r>
            <w:r w:rsidRPr="002031DC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tinkamai parinkti</w:t>
            </w:r>
            <w:r w:rsidRPr="002031DC" w:rsidDel="005B3A69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06795643" w14:textId="77777777" w:rsidR="003659D8" w:rsidRPr="00A75116" w:rsidRDefault="003659D8" w:rsidP="00333F16"/>
        </w:tc>
        <w:tc>
          <w:tcPr>
            <w:tcW w:w="2100" w:type="dxa"/>
          </w:tcPr>
          <w:p w14:paraId="77EF0C39" w14:textId="77777777" w:rsidR="003659D8" w:rsidRPr="00A75116" w:rsidRDefault="003659D8" w:rsidP="00333F16"/>
        </w:tc>
      </w:tr>
      <w:tr w:rsidR="003659D8" w:rsidRPr="00A75116" w14:paraId="2D05D0BF" w14:textId="77777777" w:rsidTr="00587930">
        <w:trPr>
          <w:trHeight w:val="620"/>
        </w:trPr>
        <w:tc>
          <w:tcPr>
            <w:tcW w:w="2100" w:type="dxa"/>
            <w:vMerge/>
            <w:shd w:val="clear" w:color="auto" w:fill="F2F2F2" w:themeFill="background1" w:themeFillShade="F2"/>
          </w:tcPr>
          <w:p w14:paraId="3C8D271A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0E21EAF6" w14:textId="77777777" w:rsidR="003659D8" w:rsidRPr="002031DC" w:rsidRDefault="00F02593" w:rsidP="000E27C4">
            <w:pPr>
              <w:jc w:val="center"/>
            </w:pPr>
            <w:r w:rsidRPr="002031DC">
              <w:t>2.7.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63FA307" w14:textId="77777777" w:rsidR="003659D8" w:rsidRPr="002031DC" w:rsidRDefault="003659D8" w:rsidP="0058793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 w:rsidRPr="002031DC">
              <w:t>Programoje numatytų veiklų ir naudojamų metodų efektyvumas siekiant planuojamų rezultatų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25E1E36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neefektyvūs,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 efektyvūs,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efektyvūs</w:t>
            </w:r>
          </w:p>
        </w:tc>
        <w:tc>
          <w:tcPr>
            <w:tcW w:w="1260" w:type="dxa"/>
          </w:tcPr>
          <w:p w14:paraId="3FB9A8DA" w14:textId="77777777" w:rsidR="003659D8" w:rsidRPr="00A75116" w:rsidRDefault="003659D8" w:rsidP="00333F16"/>
        </w:tc>
        <w:tc>
          <w:tcPr>
            <w:tcW w:w="2100" w:type="dxa"/>
          </w:tcPr>
          <w:p w14:paraId="508F859E" w14:textId="77777777" w:rsidR="003659D8" w:rsidRPr="00A75116" w:rsidRDefault="003659D8" w:rsidP="00333F16"/>
        </w:tc>
      </w:tr>
      <w:tr w:rsidR="003659D8" w:rsidRPr="00A75116" w14:paraId="74B90770" w14:textId="77777777" w:rsidTr="00587930">
        <w:trPr>
          <w:trHeight w:val="800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14:paraId="5325FAC4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Rezultatai</w:t>
            </w:r>
          </w:p>
          <w:p w14:paraId="731200B3" w14:textId="77777777" w:rsidR="003659D8" w:rsidRPr="002031DC" w:rsidRDefault="003659D8" w:rsidP="003659D8"/>
          <w:p w14:paraId="14B1C885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0366429A" w14:textId="77777777" w:rsidR="003659D8" w:rsidRPr="002031DC" w:rsidRDefault="003659D8" w:rsidP="000E27C4">
            <w:pPr>
              <w:jc w:val="center"/>
            </w:pPr>
          </w:p>
          <w:p w14:paraId="0515CED6" w14:textId="77777777" w:rsidR="003659D8" w:rsidRPr="002031DC" w:rsidRDefault="00F02593" w:rsidP="000E27C4">
            <w:pPr>
              <w:jc w:val="center"/>
            </w:pPr>
            <w:r w:rsidRPr="002031DC">
              <w:t>2.8.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0ACA6C2" w14:textId="757CFE78" w:rsidR="003659D8" w:rsidRPr="002031DC" w:rsidRDefault="003659D8" w:rsidP="00587930">
            <w:pPr>
              <w:jc w:val="both"/>
            </w:pPr>
            <w:r w:rsidRPr="002031DC">
              <w:t>Ar formuluojant tikslus</w:t>
            </w:r>
            <w:r w:rsidR="008C502B" w:rsidRPr="002031DC">
              <w:t xml:space="preserve"> </w:t>
            </w:r>
            <w:r w:rsidRPr="002031DC">
              <w:t>ir</w:t>
            </w:r>
            <w:r w:rsidR="008C502B" w:rsidRPr="002031DC">
              <w:t xml:space="preserve"> </w:t>
            </w:r>
            <w:r w:rsidRPr="002031DC">
              <w:t xml:space="preserve">uždavinius, planuojant veiklas, rezultatus </w:t>
            </w:r>
            <w:r w:rsidR="00354A13" w:rsidRPr="002031DC">
              <w:t xml:space="preserve">programoje numatytas </w:t>
            </w:r>
            <w:r w:rsidRPr="002031DC">
              <w:t xml:space="preserve">kiekybinis ir kokybinis </w:t>
            </w:r>
            <w:r w:rsidR="00354A13" w:rsidRPr="002031DC">
              <w:t xml:space="preserve">pareiškėjo </w:t>
            </w:r>
            <w:r w:rsidR="00750EB8" w:rsidRPr="002031DC">
              <w:t xml:space="preserve">padėties </w:t>
            </w:r>
            <w:r w:rsidRPr="002031DC">
              <w:t xml:space="preserve">pokytis?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A863119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1–2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taip</w:t>
            </w:r>
          </w:p>
          <w:p w14:paraId="39167701" w14:textId="77777777" w:rsidR="003659D8" w:rsidRPr="002031DC" w:rsidRDefault="003659D8" w:rsidP="00333F1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DE042EC" w14:textId="77777777" w:rsidR="003659D8" w:rsidRPr="00A75116" w:rsidRDefault="003659D8" w:rsidP="00333F16"/>
        </w:tc>
        <w:tc>
          <w:tcPr>
            <w:tcW w:w="2100" w:type="dxa"/>
          </w:tcPr>
          <w:p w14:paraId="0F741E3F" w14:textId="77777777" w:rsidR="003659D8" w:rsidRPr="00A75116" w:rsidRDefault="003659D8" w:rsidP="00333F16"/>
        </w:tc>
      </w:tr>
      <w:tr w:rsidR="003659D8" w:rsidRPr="00A75116" w14:paraId="50182BC0" w14:textId="77777777" w:rsidTr="00F02593">
        <w:trPr>
          <w:trHeight w:val="439"/>
        </w:trPr>
        <w:tc>
          <w:tcPr>
            <w:tcW w:w="2100" w:type="dxa"/>
            <w:vMerge/>
            <w:shd w:val="clear" w:color="auto" w:fill="F2F2F2" w:themeFill="background1" w:themeFillShade="F2"/>
          </w:tcPr>
          <w:p w14:paraId="795F487F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576D373B" w14:textId="77777777" w:rsidR="003659D8" w:rsidRPr="002031DC" w:rsidRDefault="00F02593" w:rsidP="000E27C4">
            <w:pPr>
              <w:jc w:val="center"/>
            </w:pPr>
            <w:r w:rsidRPr="002031DC">
              <w:t>2.9.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13ECBF75" w14:textId="77777777" w:rsidR="003659D8" w:rsidRPr="002031DC" w:rsidRDefault="003659D8" w:rsidP="00587930">
            <w:pPr>
              <w:jc w:val="both"/>
            </w:pPr>
            <w:r w:rsidRPr="002031DC">
              <w:t xml:space="preserve">Ar laukiami rezultatai yra realūs ir objektyviai pasiekiami?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C79A9FE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627B61D8" w14:textId="77777777" w:rsidR="003659D8" w:rsidRPr="00A75116" w:rsidRDefault="003659D8" w:rsidP="00333F16"/>
        </w:tc>
        <w:tc>
          <w:tcPr>
            <w:tcW w:w="2100" w:type="dxa"/>
          </w:tcPr>
          <w:p w14:paraId="32657CF4" w14:textId="77777777" w:rsidR="003659D8" w:rsidRPr="00A75116" w:rsidRDefault="003659D8" w:rsidP="00333F16"/>
          <w:p w14:paraId="7A775C2D" w14:textId="77777777" w:rsidR="003659D8" w:rsidRPr="00A75116" w:rsidRDefault="003659D8" w:rsidP="00333F16"/>
        </w:tc>
      </w:tr>
      <w:tr w:rsidR="003659D8" w:rsidRPr="00A75116" w14:paraId="547DC608" w14:textId="77777777" w:rsidTr="00C81FAE">
        <w:trPr>
          <w:trHeight w:val="328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14:paraId="4A5332E6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Viešinimas</w:t>
            </w:r>
          </w:p>
          <w:p w14:paraId="74D48CB3" w14:textId="77777777" w:rsidR="003659D8" w:rsidRPr="002031DC" w:rsidRDefault="003659D8" w:rsidP="003659D8">
            <w:pPr>
              <w:rPr>
                <w:b/>
              </w:rPr>
            </w:pPr>
          </w:p>
          <w:p w14:paraId="1926A57E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7AA78CFD" w14:textId="77777777" w:rsidR="003659D8" w:rsidRPr="002031DC" w:rsidRDefault="003659D8" w:rsidP="000E27C4">
            <w:pPr>
              <w:jc w:val="center"/>
            </w:pPr>
          </w:p>
          <w:p w14:paraId="08D8CB49" w14:textId="77777777" w:rsidR="003659D8" w:rsidRPr="002031DC" w:rsidRDefault="00F02593" w:rsidP="000E27C4">
            <w:pPr>
              <w:jc w:val="center"/>
            </w:pPr>
            <w:r w:rsidRPr="002031DC">
              <w:t>2.10.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7FFB6F48" w14:textId="489C66D1" w:rsidR="003659D8" w:rsidRPr="002031DC" w:rsidRDefault="003659D8" w:rsidP="00587930">
            <w:pPr>
              <w:jc w:val="both"/>
            </w:pPr>
            <w:r w:rsidRPr="002031DC">
              <w:t>Kiek</w:t>
            </w:r>
            <w:r w:rsidR="00277ECB" w:rsidRPr="002031DC">
              <w:t xml:space="preserve"> </w:t>
            </w:r>
            <w:r w:rsidR="006129B8" w:rsidRPr="002031DC">
              <w:t>tikslinių</w:t>
            </w:r>
            <w:r w:rsidRPr="002031DC">
              <w:t xml:space="preserve"> grupių planuojama pasiekti viešinant programos veiklas?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BE90D19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neplanuojama,</w:t>
            </w:r>
            <w:r w:rsidRPr="002031DC">
              <w:rPr>
                <w:b/>
                <w:bCs/>
              </w:rPr>
              <w:t xml:space="preserve"> </w:t>
            </w:r>
          </w:p>
          <w:p w14:paraId="66A8604E" w14:textId="77777777" w:rsidR="003659D8" w:rsidRPr="002031DC" w:rsidRDefault="003659D8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1 – </w:t>
            </w:r>
            <w:r w:rsidRPr="002031DC">
              <w:rPr>
                <w:bCs/>
              </w:rPr>
              <w:t xml:space="preserve">planuojama 1 </w:t>
            </w:r>
            <w:r w:rsidR="006129B8" w:rsidRPr="002031DC">
              <w:rPr>
                <w:bCs/>
              </w:rPr>
              <w:t xml:space="preserve">tikslinė </w:t>
            </w:r>
            <w:r w:rsidRPr="002031DC">
              <w:rPr>
                <w:bCs/>
              </w:rPr>
              <w:t>grupė,</w:t>
            </w:r>
            <w:proofErr w:type="gramStart"/>
            <w:r w:rsidRPr="002031DC">
              <w:rPr>
                <w:b/>
                <w:bCs/>
              </w:rPr>
              <w:t xml:space="preserve"> </w:t>
            </w:r>
            <w:r w:rsidR="006129B8" w:rsidRPr="002031DC">
              <w:rPr>
                <w:b/>
                <w:bCs/>
              </w:rPr>
              <w:t xml:space="preserve"> </w:t>
            </w:r>
            <w:proofErr w:type="gramEnd"/>
            <w:r w:rsidRPr="002031DC">
              <w:rPr>
                <w:b/>
                <w:bCs/>
              </w:rPr>
              <w:t xml:space="preserve">2 – </w:t>
            </w:r>
            <w:r w:rsidRPr="002031DC">
              <w:rPr>
                <w:bCs/>
              </w:rPr>
              <w:t xml:space="preserve">planuojamos 2 </w:t>
            </w:r>
            <w:r w:rsidR="006129B8" w:rsidRPr="002031DC">
              <w:rPr>
                <w:bCs/>
              </w:rPr>
              <w:t xml:space="preserve">tikslinės </w:t>
            </w:r>
            <w:r w:rsidRPr="002031DC">
              <w:rPr>
                <w:bCs/>
              </w:rPr>
              <w:t xml:space="preserve">grupės,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 w:rsidRPr="002031DC">
              <w:rPr>
                <w:bCs/>
              </w:rPr>
              <w:lastRenderedPageBreak/>
              <w:t xml:space="preserve">planuojamos 3 ir daugiau </w:t>
            </w:r>
            <w:r w:rsidR="006129B8" w:rsidRPr="002031DC">
              <w:rPr>
                <w:bCs/>
              </w:rPr>
              <w:t xml:space="preserve">tikslinių </w:t>
            </w:r>
            <w:r w:rsidRPr="002031DC">
              <w:rPr>
                <w:bCs/>
              </w:rPr>
              <w:t>grupių</w:t>
            </w:r>
          </w:p>
        </w:tc>
        <w:tc>
          <w:tcPr>
            <w:tcW w:w="1260" w:type="dxa"/>
          </w:tcPr>
          <w:p w14:paraId="648383A6" w14:textId="77777777" w:rsidR="003659D8" w:rsidRPr="00A75116" w:rsidRDefault="003659D8" w:rsidP="00333F16"/>
        </w:tc>
        <w:tc>
          <w:tcPr>
            <w:tcW w:w="2100" w:type="dxa"/>
          </w:tcPr>
          <w:p w14:paraId="245E660D" w14:textId="77777777" w:rsidR="003659D8" w:rsidRPr="00A75116" w:rsidRDefault="003659D8" w:rsidP="00333F16"/>
        </w:tc>
      </w:tr>
      <w:tr w:rsidR="003659D8" w:rsidRPr="00A75116" w14:paraId="29DB9DDD" w14:textId="77777777" w:rsidTr="00587930">
        <w:trPr>
          <w:trHeight w:val="620"/>
        </w:trPr>
        <w:tc>
          <w:tcPr>
            <w:tcW w:w="2100" w:type="dxa"/>
            <w:vMerge/>
            <w:shd w:val="clear" w:color="auto" w:fill="F2F2F2" w:themeFill="background1" w:themeFillShade="F2"/>
          </w:tcPr>
          <w:p w14:paraId="7822FB6B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711421E4" w14:textId="77777777" w:rsidR="003659D8" w:rsidRPr="002031DC" w:rsidRDefault="00F02593" w:rsidP="000E27C4">
            <w:pPr>
              <w:jc w:val="center"/>
            </w:pPr>
            <w:r w:rsidRPr="002031DC">
              <w:t>2.11.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2C6528EE" w14:textId="77777777" w:rsidR="003659D8" w:rsidRPr="002031DC" w:rsidRDefault="003659D8" w:rsidP="00587930">
            <w:pPr>
              <w:jc w:val="both"/>
            </w:pPr>
            <w:r w:rsidRPr="002031DC">
              <w:rPr>
                <w:snapToGrid w:val="0"/>
              </w:rPr>
              <w:t xml:space="preserve">Ar numatytas programos viešinimo priemonių kiekis ir pačios priemonės yra aiškiai aprašytos ir efektyvios?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FE00B1A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</w:tcPr>
          <w:p w14:paraId="1116B9B8" w14:textId="77777777" w:rsidR="003659D8" w:rsidRPr="00A75116" w:rsidRDefault="003659D8" w:rsidP="00333F16"/>
        </w:tc>
        <w:tc>
          <w:tcPr>
            <w:tcW w:w="2100" w:type="dxa"/>
          </w:tcPr>
          <w:p w14:paraId="2FDF7015" w14:textId="77777777" w:rsidR="003659D8" w:rsidRPr="00A75116" w:rsidRDefault="003659D8" w:rsidP="00333F16"/>
        </w:tc>
      </w:tr>
      <w:tr w:rsidR="003659D8" w:rsidRPr="00A75116" w14:paraId="578E2582" w14:textId="77777777" w:rsidTr="00587930">
        <w:trPr>
          <w:trHeight w:val="1070"/>
        </w:trPr>
        <w:tc>
          <w:tcPr>
            <w:tcW w:w="2100" w:type="dxa"/>
            <w:shd w:val="clear" w:color="auto" w:fill="F2F2F2" w:themeFill="background1" w:themeFillShade="F2"/>
          </w:tcPr>
          <w:p w14:paraId="6943DEA8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Programos tęstinumas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6BC1B5C9" w14:textId="77777777" w:rsidR="003659D8" w:rsidRPr="002031DC" w:rsidRDefault="00F02593" w:rsidP="000E27C4">
            <w:pPr>
              <w:jc w:val="center"/>
            </w:pPr>
            <w:r w:rsidRPr="002031DC">
              <w:t>2.12.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0167C94C" w14:textId="77777777" w:rsidR="003659D8" w:rsidRPr="002031DC" w:rsidRDefault="003659D8" w:rsidP="00587930">
            <w:pPr>
              <w:jc w:val="both"/>
            </w:pPr>
            <w:r w:rsidRPr="002031DC">
              <w:t>Jei numatytas programos tęstinumas, ar aprašyti būdai užtikrina kryptingą organizacijos veiklą ir kokybišką programos tąsą?</w:t>
            </w:r>
          </w:p>
          <w:p w14:paraId="05A22408" w14:textId="77777777" w:rsidR="003659D8" w:rsidRPr="002031DC" w:rsidRDefault="003659D8" w:rsidP="00587930">
            <w:pPr>
              <w:jc w:val="both"/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384CFBF5" w14:textId="77777777" w:rsidR="003659D8" w:rsidRPr="002031DC" w:rsidRDefault="003659D8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nėra numatyta tęstinumo, </w:t>
            </w:r>
          </w:p>
          <w:p w14:paraId="7C6ABC0D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1–2 –</w:t>
            </w:r>
            <w:r w:rsidRPr="002031DC">
              <w:rPr>
                <w:bCs/>
              </w:rPr>
              <w:t xml:space="preserve"> yra numatytas tęstinumas,</w:t>
            </w:r>
            <w:r w:rsidRPr="002031DC">
              <w:rPr>
                <w:b/>
                <w:bCs/>
              </w:rPr>
              <w:t xml:space="preserve"> </w:t>
            </w:r>
          </w:p>
          <w:p w14:paraId="25BD3BB4" w14:textId="77777777" w:rsidR="003659D8" w:rsidRPr="002031DC" w:rsidRDefault="003659D8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yra numatytas kryptingas ir kokybiškas programos tęstinumas</w:t>
            </w:r>
          </w:p>
        </w:tc>
        <w:tc>
          <w:tcPr>
            <w:tcW w:w="1260" w:type="dxa"/>
          </w:tcPr>
          <w:p w14:paraId="67A84154" w14:textId="77777777" w:rsidR="003659D8" w:rsidRPr="002031DC" w:rsidRDefault="003659D8" w:rsidP="00333F16"/>
        </w:tc>
        <w:tc>
          <w:tcPr>
            <w:tcW w:w="2100" w:type="dxa"/>
          </w:tcPr>
          <w:p w14:paraId="3CDF24A8" w14:textId="77777777" w:rsidR="003659D8" w:rsidRPr="00A75116" w:rsidRDefault="003659D8" w:rsidP="00333F16"/>
        </w:tc>
      </w:tr>
      <w:tr w:rsidR="003659D8" w:rsidRPr="00A75116" w14:paraId="7AD88358" w14:textId="77777777" w:rsidTr="00F02593">
        <w:trPr>
          <w:trHeight w:val="503"/>
        </w:trPr>
        <w:tc>
          <w:tcPr>
            <w:tcW w:w="2100" w:type="dxa"/>
            <w:shd w:val="clear" w:color="auto" w:fill="F2F2F2" w:themeFill="background1" w:themeFillShade="F2"/>
          </w:tcPr>
          <w:p w14:paraId="0341DC53" w14:textId="77777777" w:rsidR="003659D8" w:rsidRPr="002031DC" w:rsidRDefault="003659D8" w:rsidP="003659D8">
            <w:pPr>
              <w:rPr>
                <w:b/>
              </w:rPr>
            </w:pPr>
            <w:r w:rsidRPr="002031DC">
              <w:rPr>
                <w:b/>
              </w:rPr>
              <w:t>Įsivertinimas</w:t>
            </w:r>
          </w:p>
          <w:p w14:paraId="10AE0571" w14:textId="77777777" w:rsidR="003659D8" w:rsidRPr="002031DC" w:rsidRDefault="003659D8" w:rsidP="003659D8">
            <w:pPr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14:paraId="7F1376BF" w14:textId="77777777" w:rsidR="003659D8" w:rsidRPr="002031DC" w:rsidRDefault="00F02593" w:rsidP="000E27C4">
            <w:pPr>
              <w:jc w:val="center"/>
            </w:pPr>
            <w:r w:rsidRPr="002031DC">
              <w:t>2.13.</w:t>
            </w:r>
          </w:p>
          <w:p w14:paraId="28BF8529" w14:textId="77777777" w:rsidR="003659D8" w:rsidRPr="002031DC" w:rsidRDefault="003659D8" w:rsidP="000E27C4">
            <w:pPr>
              <w:jc w:val="center"/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14:paraId="56642E77" w14:textId="738A4BCE" w:rsidR="003659D8" w:rsidRPr="002031DC" w:rsidRDefault="00624775" w:rsidP="00587930">
            <w:pPr>
              <w:jc w:val="both"/>
              <w:rPr>
                <w:snapToGrid w:val="0"/>
              </w:rPr>
            </w:pPr>
            <w:r w:rsidRPr="002031DC">
              <w:rPr>
                <w:color w:val="000000"/>
              </w:rPr>
              <w:t xml:space="preserve">Ar programos </w:t>
            </w:r>
            <w:r w:rsidR="00BA1211" w:rsidRPr="002031DC">
              <w:rPr>
                <w:color w:val="000000"/>
              </w:rPr>
              <w:t xml:space="preserve">stiprybių, silpnybių, galimybių ir grėsmių </w:t>
            </w:r>
            <w:r w:rsidR="003659D8" w:rsidRPr="002031DC">
              <w:rPr>
                <w:color w:val="000000"/>
              </w:rPr>
              <w:t>analizė išsamiai aprašyta ir objektyvi?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C576A63" w14:textId="77777777" w:rsidR="003659D8" w:rsidRPr="002031DC" w:rsidRDefault="003659D8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ne,</w:t>
            </w:r>
            <w:r w:rsidRPr="002031DC">
              <w:rPr>
                <w:b/>
                <w:bCs/>
              </w:rPr>
              <w:t xml:space="preserve"> 1–3</w:t>
            </w:r>
            <w:proofErr w:type="gramStart"/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 xml:space="preserve"> </w:t>
            </w:r>
            <w:proofErr w:type="gramEnd"/>
            <w:r w:rsidRPr="002031DC">
              <w:rPr>
                <w:bCs/>
              </w:rPr>
              <w:t xml:space="preserve">– iš dalies, </w:t>
            </w:r>
            <w:r w:rsidRPr="002031DC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išsamiai aprašyta ir objektyvi</w:t>
            </w:r>
          </w:p>
        </w:tc>
        <w:tc>
          <w:tcPr>
            <w:tcW w:w="1260" w:type="dxa"/>
          </w:tcPr>
          <w:p w14:paraId="20994C08" w14:textId="77777777" w:rsidR="003659D8" w:rsidRPr="002031DC" w:rsidRDefault="003659D8" w:rsidP="00333F16"/>
        </w:tc>
        <w:tc>
          <w:tcPr>
            <w:tcW w:w="2100" w:type="dxa"/>
          </w:tcPr>
          <w:p w14:paraId="3406903F" w14:textId="77777777" w:rsidR="003659D8" w:rsidRPr="00A75116" w:rsidRDefault="003659D8" w:rsidP="00333F16"/>
        </w:tc>
      </w:tr>
      <w:tr w:rsidR="00B97E02" w:rsidRPr="00A75116" w14:paraId="57E6E0CB" w14:textId="77777777" w:rsidTr="008B68C0">
        <w:trPr>
          <w:trHeight w:val="296"/>
        </w:trPr>
        <w:tc>
          <w:tcPr>
            <w:tcW w:w="7920" w:type="dxa"/>
            <w:gridSpan w:val="3"/>
            <w:shd w:val="clear" w:color="auto" w:fill="F2F2F2" w:themeFill="background1" w:themeFillShade="F2"/>
          </w:tcPr>
          <w:p w14:paraId="5F33CB97" w14:textId="77777777" w:rsidR="00B97E02" w:rsidRPr="002031DC" w:rsidRDefault="00B97E02" w:rsidP="00333F16">
            <w:pPr>
              <w:tabs>
                <w:tab w:val="left" w:pos="10260"/>
              </w:tabs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1164D2D" w14:textId="77777777" w:rsidR="00B97E02" w:rsidRPr="002031DC" w:rsidRDefault="00B97E02" w:rsidP="00333F16">
            <w:pPr>
              <w:tabs>
                <w:tab w:val="left" w:pos="10260"/>
              </w:tabs>
              <w:jc w:val="center"/>
              <w:rPr>
                <w:b/>
              </w:rPr>
            </w:pPr>
            <w:r w:rsidRPr="002031DC">
              <w:rPr>
                <w:b/>
              </w:rPr>
              <w:t>40</w:t>
            </w:r>
          </w:p>
        </w:tc>
        <w:tc>
          <w:tcPr>
            <w:tcW w:w="1260" w:type="dxa"/>
          </w:tcPr>
          <w:p w14:paraId="2F9B91B6" w14:textId="77777777" w:rsidR="00B97E02" w:rsidRPr="002031DC" w:rsidRDefault="00B97E02" w:rsidP="00333F16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14:paraId="7E31CF33" w14:textId="77777777" w:rsidR="00B97E02" w:rsidRPr="00A75116" w:rsidRDefault="00B97E02" w:rsidP="00333F16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14:paraId="4F4AC2F5" w14:textId="77777777" w:rsidR="00B97E02" w:rsidRPr="00A75116" w:rsidRDefault="00B97E02" w:rsidP="00B97E02">
      <w:pPr>
        <w:rPr>
          <w:sz w:val="16"/>
          <w:szCs w:val="16"/>
        </w:rPr>
      </w:pPr>
    </w:p>
    <w:p w14:paraId="02260A79" w14:textId="77777777" w:rsidR="00B97E02" w:rsidRPr="00A75116" w:rsidRDefault="00B97E02" w:rsidP="00B97E02">
      <w:pPr>
        <w:shd w:val="clear" w:color="auto" w:fill="FFFFFF"/>
        <w:rPr>
          <w:sz w:val="16"/>
          <w:szCs w:val="16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130"/>
        <w:gridCol w:w="3150"/>
        <w:gridCol w:w="1800"/>
        <w:gridCol w:w="3809"/>
      </w:tblGrid>
      <w:tr w:rsidR="00B46FAE" w:rsidRPr="00A75116" w14:paraId="437C7704" w14:textId="77777777" w:rsidTr="00CA1E53">
        <w:trPr>
          <w:trHeight w:val="422"/>
        </w:trPr>
        <w:tc>
          <w:tcPr>
            <w:tcW w:w="14519" w:type="dxa"/>
            <w:gridSpan w:val="5"/>
            <w:shd w:val="clear" w:color="auto" w:fill="F2F2F2" w:themeFill="background1" w:themeFillShade="F2"/>
          </w:tcPr>
          <w:p w14:paraId="086C72CA" w14:textId="77777777" w:rsidR="00B46FAE" w:rsidRPr="008B68C0" w:rsidRDefault="00B46FAE" w:rsidP="00192910">
            <w:pPr>
              <w:pStyle w:val="Sraopastraipa"/>
              <w:numPr>
                <w:ilvl w:val="0"/>
                <w:numId w:val="5"/>
              </w:numPr>
              <w:ind w:left="435"/>
              <w:jc w:val="both"/>
              <w:rPr>
                <w:b/>
                <w:lang w:val="lt-LT"/>
              </w:rPr>
            </w:pPr>
            <w:r w:rsidRPr="008B68C0">
              <w:rPr>
                <w:b/>
                <w:lang w:val="lt-LT"/>
              </w:rPr>
              <w:t>Programos atitikties prioritetams įvertinimas</w:t>
            </w:r>
          </w:p>
        </w:tc>
      </w:tr>
      <w:tr w:rsidR="007C0AAB" w:rsidRPr="00A75116" w14:paraId="5B7E7C6E" w14:textId="77777777" w:rsidTr="002031DC">
        <w:trPr>
          <w:trHeight w:val="689"/>
        </w:trPr>
        <w:tc>
          <w:tcPr>
            <w:tcW w:w="630" w:type="dxa"/>
            <w:shd w:val="clear" w:color="auto" w:fill="F2F2F2" w:themeFill="background1" w:themeFillShade="F2"/>
          </w:tcPr>
          <w:p w14:paraId="18EEB7CD" w14:textId="77777777" w:rsidR="007C0AAB" w:rsidRPr="00A75116" w:rsidRDefault="00B46FAE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Eil. Nr.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90DF87C" w14:textId="77777777" w:rsidR="007C0AAB" w:rsidRPr="00A75116" w:rsidRDefault="00704EA1" w:rsidP="00B73921">
            <w:pPr>
              <w:jc w:val="both"/>
              <w:rPr>
                <w:b/>
              </w:rPr>
            </w:pPr>
            <w:r w:rsidRPr="00A75116">
              <w:rPr>
                <w:b/>
              </w:rPr>
              <w:t>Prioritetai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026BB0" w14:textId="77777777" w:rsidR="007C0AAB" w:rsidRPr="00A75116" w:rsidRDefault="007C0AAB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EA1316" w14:textId="77777777" w:rsidR="007C0AAB" w:rsidRPr="00A75116" w:rsidRDefault="007C0AAB" w:rsidP="00333F16">
            <w:pPr>
              <w:rPr>
                <w:b/>
              </w:rPr>
            </w:pPr>
            <w:r w:rsidRPr="00A75116">
              <w:rPr>
                <w:b/>
              </w:rPr>
              <w:t xml:space="preserve"> Skiriami balai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EAE5CA" w14:textId="77777777" w:rsidR="007C0AAB" w:rsidRPr="00A75116" w:rsidRDefault="007C0AAB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7C4D34" w:rsidRPr="00A75116" w14:paraId="482D4BD9" w14:textId="77777777" w:rsidTr="00587930">
        <w:trPr>
          <w:trHeight w:val="800"/>
        </w:trPr>
        <w:tc>
          <w:tcPr>
            <w:tcW w:w="630" w:type="dxa"/>
            <w:shd w:val="clear" w:color="auto" w:fill="F2F2F2" w:themeFill="background1" w:themeFillShade="F2"/>
          </w:tcPr>
          <w:p w14:paraId="1E786027" w14:textId="77777777" w:rsidR="007C4D34" w:rsidRPr="002031DC" w:rsidRDefault="00B46FAE" w:rsidP="00333F16">
            <w:r w:rsidRPr="002031DC">
              <w:t>3.1.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0B0D89FE" w14:textId="399F2854" w:rsidR="007C4D34" w:rsidRPr="002031DC" w:rsidRDefault="007C4D34" w:rsidP="00B73921">
            <w:pPr>
              <w:jc w:val="both"/>
              <w:rPr>
                <w:b/>
              </w:rPr>
            </w:pPr>
            <w:r w:rsidRPr="002031DC">
              <w:t xml:space="preserve">Planuojamos veiklos aiškiai atitinka </w:t>
            </w:r>
            <w:r w:rsidR="002A5C3D" w:rsidRPr="002031DC">
              <w:t xml:space="preserve">2017–2018 m. </w:t>
            </w:r>
            <w:r w:rsidRPr="002031DC">
              <w:t>prioritetą</w:t>
            </w:r>
            <w:r w:rsidR="002A5C3D" w:rsidRPr="002031DC">
              <w:t xml:space="preserve"> </w:t>
            </w:r>
            <w:r w:rsidR="001F5095" w:rsidRPr="002031DC">
              <w:t xml:space="preserve">– </w:t>
            </w:r>
            <w:r w:rsidRPr="002031DC">
              <w:rPr>
                <w:color w:val="000000"/>
              </w:rPr>
              <w:t xml:space="preserve">skatinti jaunų </w:t>
            </w:r>
            <w:r w:rsidRPr="002031DC">
              <w:rPr>
                <w:color w:val="000000"/>
                <w:spacing w:val="1"/>
              </w:rPr>
              <w:t>ž</w:t>
            </w:r>
            <w:r w:rsidRPr="002031DC">
              <w:rPr>
                <w:color w:val="000000"/>
              </w:rPr>
              <w:t>mo</w:t>
            </w:r>
            <w:r w:rsidRPr="002031DC">
              <w:rPr>
                <w:color w:val="000000"/>
                <w:spacing w:val="-2"/>
              </w:rPr>
              <w:t>n</w:t>
            </w:r>
            <w:r w:rsidRPr="002031DC">
              <w:rPr>
                <w:color w:val="000000"/>
              </w:rPr>
              <w:t xml:space="preserve">ių </w:t>
            </w:r>
            <w:r w:rsidRPr="002031DC">
              <w:rPr>
                <w:color w:val="000000"/>
                <w:spacing w:val="1"/>
              </w:rPr>
              <w:t>į</w:t>
            </w:r>
            <w:r w:rsidRPr="002031DC">
              <w:rPr>
                <w:color w:val="000000"/>
              </w:rPr>
              <w:t>si</w:t>
            </w:r>
            <w:r w:rsidRPr="002031DC">
              <w:rPr>
                <w:color w:val="000000"/>
                <w:spacing w:val="1"/>
              </w:rPr>
              <w:t>t</w:t>
            </w:r>
            <w:r w:rsidRPr="002031DC">
              <w:rPr>
                <w:color w:val="000000"/>
              </w:rPr>
              <w:t>r</w:t>
            </w:r>
            <w:r w:rsidRPr="002031DC">
              <w:rPr>
                <w:color w:val="000000"/>
                <w:spacing w:val="-2"/>
              </w:rPr>
              <w:t>a</w:t>
            </w:r>
            <w:r w:rsidRPr="002031DC">
              <w:rPr>
                <w:color w:val="000000"/>
              </w:rPr>
              <w:t>uki</w:t>
            </w:r>
            <w:r w:rsidRPr="002031DC">
              <w:rPr>
                <w:color w:val="000000"/>
                <w:spacing w:val="1"/>
              </w:rPr>
              <w:t>m</w:t>
            </w:r>
            <w:r w:rsidRPr="002031DC">
              <w:rPr>
                <w:color w:val="000000"/>
              </w:rPr>
              <w:t>ą</w:t>
            </w:r>
            <w:r w:rsidRPr="002031DC">
              <w:rPr>
                <w:color w:val="000000"/>
                <w:spacing w:val="-1"/>
              </w:rPr>
              <w:t xml:space="preserve"> </w:t>
            </w:r>
            <w:r w:rsidRPr="002031DC">
              <w:rPr>
                <w:color w:val="000000"/>
              </w:rPr>
              <w:t>į demok</w:t>
            </w:r>
            <w:r w:rsidRPr="002031DC">
              <w:rPr>
                <w:color w:val="000000"/>
                <w:spacing w:val="-1"/>
              </w:rPr>
              <w:t>ra</w:t>
            </w:r>
            <w:r w:rsidRPr="002031DC">
              <w:rPr>
                <w:color w:val="000000"/>
              </w:rPr>
              <w:t>t</w:t>
            </w:r>
            <w:r w:rsidRPr="002031DC">
              <w:rPr>
                <w:color w:val="000000"/>
                <w:spacing w:val="1"/>
              </w:rPr>
              <w:t>i</w:t>
            </w:r>
            <w:r w:rsidRPr="002031DC">
              <w:rPr>
                <w:color w:val="000000"/>
              </w:rPr>
              <w:t>nius v</w:t>
            </w:r>
            <w:r w:rsidRPr="002031DC">
              <w:rPr>
                <w:color w:val="000000"/>
                <w:spacing w:val="-1"/>
              </w:rPr>
              <w:t>a</w:t>
            </w:r>
            <w:r w:rsidRPr="002031DC">
              <w:rPr>
                <w:color w:val="000000"/>
              </w:rPr>
              <w:t>ls</w:t>
            </w:r>
            <w:r w:rsidRPr="002031DC">
              <w:rPr>
                <w:color w:val="000000"/>
                <w:spacing w:val="3"/>
              </w:rPr>
              <w:t>t</w:t>
            </w:r>
            <w:r w:rsidRPr="002031DC">
              <w:rPr>
                <w:color w:val="000000"/>
                <w:spacing w:val="-7"/>
              </w:rPr>
              <w:t>y</w:t>
            </w:r>
            <w:r w:rsidRPr="002031DC">
              <w:rPr>
                <w:color w:val="000000"/>
                <w:spacing w:val="2"/>
              </w:rPr>
              <w:t>b</w:t>
            </w:r>
            <w:r w:rsidRPr="002031DC">
              <w:rPr>
                <w:color w:val="000000"/>
                <w:spacing w:val="-1"/>
              </w:rPr>
              <w:t>ė</w:t>
            </w:r>
            <w:r w:rsidRPr="002031DC">
              <w:rPr>
                <w:color w:val="000000"/>
              </w:rPr>
              <w:t>s val</w:t>
            </w:r>
            <w:r w:rsidRPr="002031DC">
              <w:rPr>
                <w:color w:val="000000"/>
                <w:spacing w:val="4"/>
              </w:rPr>
              <w:t>d</w:t>
            </w:r>
            <w:r w:rsidRPr="002031DC">
              <w:rPr>
                <w:color w:val="000000"/>
                <w:spacing w:val="-5"/>
              </w:rPr>
              <w:t>y</w:t>
            </w:r>
            <w:r w:rsidRPr="002031DC">
              <w:rPr>
                <w:color w:val="000000"/>
              </w:rPr>
              <w:t>mo</w:t>
            </w:r>
            <w:r w:rsidRPr="002031DC">
              <w:rPr>
                <w:color w:val="000000"/>
                <w:spacing w:val="3"/>
              </w:rPr>
              <w:t xml:space="preserve"> </w:t>
            </w:r>
            <w:r w:rsidRPr="002031DC">
              <w:rPr>
                <w:color w:val="000000"/>
              </w:rPr>
              <w:t>p</w:t>
            </w:r>
            <w:r w:rsidRPr="002031DC">
              <w:rPr>
                <w:color w:val="000000"/>
                <w:spacing w:val="-1"/>
              </w:rPr>
              <w:t>r</w:t>
            </w:r>
            <w:r w:rsidRPr="002031DC">
              <w:rPr>
                <w:color w:val="000000"/>
              </w:rPr>
              <w:t>o</w:t>
            </w:r>
            <w:r w:rsidRPr="002031DC">
              <w:rPr>
                <w:color w:val="000000"/>
                <w:spacing w:val="-1"/>
              </w:rPr>
              <w:t>ce</w:t>
            </w:r>
            <w:r w:rsidRPr="002031DC">
              <w:rPr>
                <w:color w:val="000000"/>
              </w:rPr>
              <w:t>sus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2173963D" w14:textId="77777777" w:rsidR="007C4D34" w:rsidRPr="002031DC" w:rsidRDefault="007C4D34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5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800" w:type="dxa"/>
          </w:tcPr>
          <w:p w14:paraId="6A576824" w14:textId="77777777" w:rsidR="007C4D34" w:rsidRPr="00A75116" w:rsidRDefault="007C4D34" w:rsidP="00333F16"/>
        </w:tc>
        <w:tc>
          <w:tcPr>
            <w:tcW w:w="3809" w:type="dxa"/>
          </w:tcPr>
          <w:p w14:paraId="36431FF2" w14:textId="77777777" w:rsidR="007C4D34" w:rsidRPr="00A75116" w:rsidRDefault="007C4D34" w:rsidP="00333F16"/>
        </w:tc>
      </w:tr>
      <w:tr w:rsidR="007C4D34" w:rsidRPr="00A75116" w14:paraId="0385E001" w14:textId="77777777" w:rsidTr="00587930">
        <w:trPr>
          <w:trHeight w:val="1790"/>
        </w:trPr>
        <w:tc>
          <w:tcPr>
            <w:tcW w:w="630" w:type="dxa"/>
            <w:shd w:val="clear" w:color="auto" w:fill="F2F2F2" w:themeFill="background1" w:themeFillShade="F2"/>
          </w:tcPr>
          <w:p w14:paraId="0CC3A1DF" w14:textId="77777777" w:rsidR="007C4D34" w:rsidRPr="002031DC" w:rsidRDefault="00B46FAE" w:rsidP="00333F16">
            <w:r w:rsidRPr="002031DC">
              <w:t>3.2.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82599EA" w14:textId="2FB6F324" w:rsidR="007C4D34" w:rsidRPr="002031DC" w:rsidRDefault="007C4D34" w:rsidP="00B73921">
            <w:pPr>
              <w:jc w:val="both"/>
            </w:pPr>
            <w:r w:rsidRPr="002031DC">
              <w:t xml:space="preserve">Planuojamos veiklos aiškiai atitinka </w:t>
            </w:r>
            <w:r w:rsidR="002A5C3D" w:rsidRPr="002031DC">
              <w:t xml:space="preserve">2017–2018 m. </w:t>
            </w:r>
            <w:r w:rsidRPr="002031DC">
              <w:t>prioritetą</w:t>
            </w:r>
            <w:r w:rsidR="001F5095" w:rsidRPr="002031DC">
              <w:t xml:space="preserve"> –</w:t>
            </w:r>
            <w:r w:rsidR="002A5C3D" w:rsidRPr="002031DC">
              <w:t xml:space="preserve"> </w:t>
            </w:r>
            <w:r w:rsidRPr="002031DC">
              <w:rPr>
                <w:color w:val="000000"/>
              </w:rPr>
              <w:t>į</w:t>
            </w:r>
            <w:r w:rsidRPr="002031DC">
              <w:rPr>
                <w:color w:val="000000"/>
                <w:spacing w:val="1"/>
              </w:rPr>
              <w:t>t</w:t>
            </w:r>
            <w:r w:rsidRPr="002031DC">
              <w:rPr>
                <w:color w:val="000000"/>
              </w:rPr>
              <w:t>r</w:t>
            </w:r>
            <w:r w:rsidRPr="002031DC">
              <w:rPr>
                <w:color w:val="000000"/>
                <w:spacing w:val="-2"/>
              </w:rPr>
              <w:t>a</w:t>
            </w:r>
            <w:r w:rsidRPr="002031DC">
              <w:rPr>
                <w:color w:val="000000"/>
              </w:rPr>
              <w:t xml:space="preserve">ukti 15 </w:t>
            </w:r>
            <w:r w:rsidRPr="002031DC">
              <w:t xml:space="preserve">niekur nedirbančių, nesimokančių ir mokymuose nedalyvaujančių </w:t>
            </w:r>
            <w:r w:rsidRPr="002031DC">
              <w:rPr>
                <w:color w:val="000000"/>
              </w:rPr>
              <w:t>j</w:t>
            </w:r>
            <w:r w:rsidRPr="002031DC">
              <w:rPr>
                <w:color w:val="000000"/>
                <w:spacing w:val="-1"/>
              </w:rPr>
              <w:t>a</w:t>
            </w:r>
            <w:r w:rsidRPr="002031DC">
              <w:rPr>
                <w:color w:val="000000"/>
              </w:rPr>
              <w:t xml:space="preserve">unų </w:t>
            </w:r>
            <w:r w:rsidRPr="002031DC">
              <w:rPr>
                <w:color w:val="000000"/>
                <w:spacing w:val="1"/>
              </w:rPr>
              <w:t>ž</w:t>
            </w:r>
            <w:r w:rsidRPr="002031DC">
              <w:rPr>
                <w:color w:val="000000"/>
              </w:rPr>
              <w:t>m</w:t>
            </w:r>
            <w:r w:rsidRPr="002031DC">
              <w:rPr>
                <w:color w:val="000000"/>
                <w:spacing w:val="-2"/>
              </w:rPr>
              <w:t>o</w:t>
            </w:r>
            <w:r w:rsidRPr="002031DC">
              <w:rPr>
                <w:color w:val="000000"/>
              </w:rPr>
              <w:t xml:space="preserve">nių, </w:t>
            </w:r>
            <w:r w:rsidRPr="002031DC">
              <w:t>dalyvaujančių Jaunimo garantijų iniciatyvos pirminės intervencijos įgyvendinimo projekte „Atrask save“,</w:t>
            </w:r>
            <w:r w:rsidRPr="002031DC">
              <w:rPr>
                <w:color w:val="000000"/>
              </w:rPr>
              <w:t xml:space="preserve"> į s</w:t>
            </w:r>
            <w:r w:rsidRPr="002031DC">
              <w:rPr>
                <w:color w:val="000000"/>
                <w:spacing w:val="-1"/>
              </w:rPr>
              <w:t>a</w:t>
            </w:r>
            <w:r w:rsidRPr="002031DC">
              <w:rPr>
                <w:color w:val="000000"/>
              </w:rPr>
              <w:t>v</w:t>
            </w:r>
            <w:r w:rsidRPr="002031DC">
              <w:rPr>
                <w:color w:val="000000"/>
                <w:spacing w:val="-1"/>
              </w:rPr>
              <w:t>a</w:t>
            </w:r>
            <w:r w:rsidRPr="002031DC">
              <w:rPr>
                <w:color w:val="000000"/>
              </w:rPr>
              <w:t>noriš</w:t>
            </w:r>
            <w:r w:rsidRPr="002031DC">
              <w:rPr>
                <w:color w:val="000000"/>
                <w:spacing w:val="2"/>
              </w:rPr>
              <w:t>k</w:t>
            </w:r>
            <w:r w:rsidRPr="002031DC">
              <w:rPr>
                <w:color w:val="000000"/>
              </w:rPr>
              <w:t>ą</w:t>
            </w:r>
            <w:r w:rsidRPr="002031DC">
              <w:rPr>
                <w:color w:val="000000"/>
                <w:spacing w:val="-1"/>
              </w:rPr>
              <w:t xml:space="preserve"> </w:t>
            </w:r>
            <w:r w:rsidRPr="002031DC">
              <w:rPr>
                <w:color w:val="000000"/>
              </w:rPr>
              <w:t>v</w:t>
            </w:r>
            <w:r w:rsidRPr="002031DC">
              <w:rPr>
                <w:color w:val="000000"/>
                <w:spacing w:val="-1"/>
              </w:rPr>
              <w:t>e</w:t>
            </w:r>
            <w:r w:rsidRPr="002031DC">
              <w:rPr>
                <w:color w:val="000000"/>
              </w:rPr>
              <w:t>ik</w:t>
            </w:r>
            <w:r w:rsidRPr="002031DC">
              <w:rPr>
                <w:color w:val="000000"/>
                <w:spacing w:val="1"/>
              </w:rPr>
              <w:t>l</w:t>
            </w:r>
            <w:r w:rsidRPr="002031DC">
              <w:rPr>
                <w:color w:val="000000"/>
                <w:spacing w:val="-1"/>
              </w:rPr>
              <w:t>ą, trunkančią ne trumpiau kaip 3 mėnesius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58E7ECC" w14:textId="77777777" w:rsidR="007C4D34" w:rsidRPr="002031DC" w:rsidRDefault="007C4D34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ne,</w:t>
            </w:r>
            <w:r w:rsidRPr="002031DC">
              <w:rPr>
                <w:b/>
                <w:bCs/>
              </w:rPr>
              <w:t xml:space="preserve"> 5 –</w:t>
            </w:r>
            <w:r w:rsidRPr="002031DC">
              <w:rPr>
                <w:bCs/>
              </w:rPr>
              <w:t xml:space="preserve"> taip</w:t>
            </w:r>
          </w:p>
        </w:tc>
        <w:tc>
          <w:tcPr>
            <w:tcW w:w="1800" w:type="dxa"/>
          </w:tcPr>
          <w:p w14:paraId="26A33B51" w14:textId="77777777" w:rsidR="007C4D34" w:rsidRPr="00A75116" w:rsidRDefault="007C4D34" w:rsidP="00333F16"/>
        </w:tc>
        <w:tc>
          <w:tcPr>
            <w:tcW w:w="3809" w:type="dxa"/>
          </w:tcPr>
          <w:p w14:paraId="5F2758C8" w14:textId="77777777" w:rsidR="007C4D34" w:rsidRPr="00A75116" w:rsidRDefault="007C4D34" w:rsidP="00333F16"/>
        </w:tc>
      </w:tr>
      <w:tr w:rsidR="007C4D34" w:rsidRPr="00A75116" w14:paraId="1CAF2AB9" w14:textId="77777777" w:rsidTr="00587930">
        <w:trPr>
          <w:trHeight w:val="2600"/>
        </w:trPr>
        <w:tc>
          <w:tcPr>
            <w:tcW w:w="630" w:type="dxa"/>
            <w:shd w:val="clear" w:color="auto" w:fill="F2F2F2" w:themeFill="background1" w:themeFillShade="F2"/>
          </w:tcPr>
          <w:p w14:paraId="41EF36B1" w14:textId="77777777" w:rsidR="007C4D34" w:rsidRPr="002031DC" w:rsidRDefault="00B46FAE" w:rsidP="00333F16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2031DC">
              <w:lastRenderedPageBreak/>
              <w:t>3.3.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1120436" w14:textId="51326B84" w:rsidR="007C4D34" w:rsidRPr="002031DC" w:rsidRDefault="007C4D34" w:rsidP="00B7392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 w:rsidRPr="002031DC">
              <w:t xml:space="preserve">Planuojamos veiklos aiškiai atitinka </w:t>
            </w:r>
            <w:r w:rsidR="008C502B" w:rsidRPr="002031DC">
              <w:t xml:space="preserve">2017–2018 m. </w:t>
            </w:r>
            <w:r w:rsidRPr="002031DC">
              <w:t xml:space="preserve">prioritetą </w:t>
            </w:r>
            <w:r w:rsidR="001F5095" w:rsidRPr="002031DC">
              <w:t xml:space="preserve">– </w:t>
            </w:r>
            <w:r w:rsidRPr="002031DC">
              <w:rPr>
                <w:color w:val="000000"/>
              </w:rPr>
              <w:t>inicijuoti ir į</w:t>
            </w:r>
            <w:r w:rsidRPr="002031DC">
              <w:rPr>
                <w:color w:val="000000"/>
                <w:spacing w:val="3"/>
              </w:rPr>
              <w:t>g</w:t>
            </w:r>
            <w:r w:rsidRPr="002031DC">
              <w:rPr>
                <w:color w:val="000000"/>
                <w:spacing w:val="-5"/>
              </w:rPr>
              <w:t>y</w:t>
            </w:r>
            <w:r w:rsidRPr="002031DC">
              <w:rPr>
                <w:color w:val="000000"/>
              </w:rPr>
              <w:t>v</w:t>
            </w:r>
            <w:r w:rsidRPr="002031DC">
              <w:rPr>
                <w:color w:val="000000"/>
                <w:spacing w:val="-1"/>
              </w:rPr>
              <w:t>e</w:t>
            </w:r>
            <w:r w:rsidRPr="002031DC">
              <w:rPr>
                <w:color w:val="000000"/>
              </w:rPr>
              <w:t>ndinti</w:t>
            </w:r>
            <w:r w:rsidRPr="002031DC">
              <w:rPr>
                <w:color w:val="000000"/>
                <w:spacing w:val="3"/>
              </w:rPr>
              <w:t xml:space="preserve"> ne mažiau kaip 5 skirtingas jaunų žmonių pilietiškumą stiprinančias </w:t>
            </w:r>
            <w:r w:rsidRPr="002031DC">
              <w:rPr>
                <w:color w:val="000000"/>
              </w:rPr>
              <w:t>v</w:t>
            </w:r>
            <w:r w:rsidRPr="002031DC">
              <w:rPr>
                <w:color w:val="000000"/>
                <w:spacing w:val="-1"/>
              </w:rPr>
              <w:t>e</w:t>
            </w:r>
            <w:r w:rsidRPr="002031DC">
              <w:rPr>
                <w:color w:val="000000"/>
              </w:rPr>
              <w:t>ik</w:t>
            </w:r>
            <w:r w:rsidRPr="002031DC">
              <w:rPr>
                <w:color w:val="000000"/>
                <w:spacing w:val="1"/>
              </w:rPr>
              <w:t>l</w:t>
            </w:r>
            <w:r w:rsidRPr="002031DC">
              <w:rPr>
                <w:color w:val="000000"/>
                <w:spacing w:val="-1"/>
              </w:rPr>
              <w:t>a</w:t>
            </w:r>
            <w:r w:rsidRPr="002031DC">
              <w:rPr>
                <w:color w:val="000000"/>
              </w:rPr>
              <w:t xml:space="preserve">s 5 </w:t>
            </w:r>
            <w:r w:rsidR="00704EA1" w:rsidRPr="002031DC">
              <w:rPr>
                <w:color w:val="000000"/>
              </w:rPr>
              <w:t xml:space="preserve">Lietuvos Respublikos </w:t>
            </w:r>
            <w:r w:rsidRPr="002031DC">
              <w:rPr>
                <w:color w:val="000000"/>
              </w:rPr>
              <w:t xml:space="preserve">savivaldybėse, kurių gyventojų skaičius neviršija 100 tūkstančių gyventojų pagal 2015 m. gruodžio 31 </w:t>
            </w:r>
            <w:proofErr w:type="gramStart"/>
            <w:r w:rsidRPr="002031DC">
              <w:rPr>
                <w:color w:val="000000"/>
              </w:rPr>
              <w:t>d. Statistikos departamento</w:t>
            </w:r>
            <w:proofErr w:type="gramEnd"/>
            <w:r w:rsidRPr="002031DC">
              <w:rPr>
                <w:color w:val="000000"/>
              </w:rPr>
              <w:t xml:space="preserve"> duomenis,</w:t>
            </w:r>
            <w:r w:rsidR="008C502B" w:rsidRPr="002031DC">
              <w:rPr>
                <w:color w:val="000000"/>
              </w:rPr>
              <w:t xml:space="preserve"> </w:t>
            </w:r>
            <w:r w:rsidRPr="002031DC">
              <w:rPr>
                <w:color w:val="000000"/>
              </w:rPr>
              <w:t>pvz.,</w:t>
            </w:r>
            <w:r w:rsidR="008C502B" w:rsidRPr="002031DC">
              <w:rPr>
                <w:color w:val="000000"/>
              </w:rPr>
              <w:t xml:space="preserve"> </w:t>
            </w:r>
            <w:r w:rsidRPr="002031DC">
              <w:rPr>
                <w:color w:val="000000"/>
              </w:rPr>
              <w:t>organizuoti</w:t>
            </w:r>
            <w:r w:rsidR="008C502B" w:rsidRPr="002031DC">
              <w:rPr>
                <w:color w:val="000000"/>
              </w:rPr>
              <w:t xml:space="preserve"> </w:t>
            </w:r>
            <w:r w:rsidRPr="002031DC">
              <w:rPr>
                <w:color w:val="000000"/>
              </w:rPr>
              <w:t>Lietuvos</w:t>
            </w:r>
            <w:r w:rsidR="008C502B" w:rsidRPr="002031DC">
              <w:rPr>
                <w:color w:val="000000"/>
              </w:rPr>
              <w:t xml:space="preserve"> </w:t>
            </w:r>
            <w:r w:rsidRPr="002031DC">
              <w:rPr>
                <w:color w:val="000000"/>
              </w:rPr>
              <w:t>valstybės atkūrimo šimtmečiui skirtas veiklas, puoselėjančias lietuvių tautos valstybingumo tradicijas, jos istorinio ir kultūrinio savitumo paveldą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B385245" w14:textId="77777777" w:rsidR="007C4D34" w:rsidRPr="002031DC" w:rsidRDefault="007C4D34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ne,</w:t>
            </w:r>
            <w:r w:rsidRPr="002031DC">
              <w:rPr>
                <w:b/>
                <w:bCs/>
              </w:rPr>
              <w:t xml:space="preserve"> 5 –</w:t>
            </w:r>
            <w:r w:rsidRPr="002031DC">
              <w:rPr>
                <w:bCs/>
              </w:rPr>
              <w:t xml:space="preserve"> taip</w:t>
            </w:r>
          </w:p>
        </w:tc>
        <w:tc>
          <w:tcPr>
            <w:tcW w:w="1800" w:type="dxa"/>
          </w:tcPr>
          <w:p w14:paraId="3AB92C49" w14:textId="77777777" w:rsidR="007C4D34" w:rsidRPr="00A75116" w:rsidRDefault="007C4D34" w:rsidP="00333F16"/>
        </w:tc>
        <w:tc>
          <w:tcPr>
            <w:tcW w:w="3809" w:type="dxa"/>
          </w:tcPr>
          <w:p w14:paraId="6CE4B2E0" w14:textId="77777777" w:rsidR="007C4D34" w:rsidRPr="00A75116" w:rsidRDefault="007C4D34" w:rsidP="00333F16"/>
        </w:tc>
      </w:tr>
      <w:tr w:rsidR="00B46FAE" w:rsidRPr="00A75116" w14:paraId="194FADD0" w14:textId="77777777" w:rsidTr="00B73921">
        <w:trPr>
          <w:trHeight w:val="19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6ABB0" w14:textId="77777777" w:rsidR="00B46FAE" w:rsidRPr="002031DC" w:rsidRDefault="00B46FAE" w:rsidP="00333F16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5466C" w14:textId="77777777" w:rsidR="00B46FAE" w:rsidRPr="002031DC" w:rsidRDefault="00B46FAE" w:rsidP="00333F16">
            <w:pPr>
              <w:jc w:val="center"/>
              <w:rPr>
                <w:b/>
                <w:bCs/>
              </w:rPr>
            </w:pPr>
            <w:r w:rsidRPr="002031DC">
              <w:rPr>
                <w:b/>
                <w:bCs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B5BA6" w14:textId="77777777" w:rsidR="00B46FAE" w:rsidRPr="00A75116" w:rsidRDefault="00B46FAE" w:rsidP="00333F16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7D4E8" w14:textId="77777777" w:rsidR="00B46FAE" w:rsidRPr="00A75116" w:rsidRDefault="00B46FAE" w:rsidP="00333F16"/>
        </w:tc>
      </w:tr>
    </w:tbl>
    <w:p w14:paraId="20CBBCC3" w14:textId="77777777" w:rsidR="00B97E02" w:rsidRPr="00573D38" w:rsidRDefault="00B97E02" w:rsidP="00B97E02">
      <w:pPr>
        <w:shd w:val="clear" w:color="auto" w:fill="FFFFFF"/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A75116" w14:paraId="19F56093" w14:textId="77777777" w:rsidTr="00B938FE">
        <w:trPr>
          <w:trHeight w:val="456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14:paraId="43154128" w14:textId="77777777" w:rsidR="00B73921" w:rsidRPr="008B68C0" w:rsidRDefault="00B73921" w:rsidP="00192910">
            <w:pPr>
              <w:pStyle w:val="Sraopastraipa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8B68C0">
              <w:rPr>
                <w:b/>
                <w:lang w:val="lt-LT"/>
              </w:rPr>
              <w:t>Lėšų planavimo vertinimo kriterijai</w:t>
            </w:r>
          </w:p>
          <w:p w14:paraId="21717DD7" w14:textId="77777777"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14:paraId="381CBFE9" w14:textId="77777777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14:paraId="7586951B" w14:textId="77777777" w:rsidR="00B73921" w:rsidRPr="00A75116" w:rsidRDefault="00AC3D12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Eil. Nr.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713255E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Lėšų planavimo vertinimo kriterijai</w:t>
            </w:r>
          </w:p>
          <w:p w14:paraId="448D6B07" w14:textId="77777777" w:rsidR="00B73921" w:rsidRPr="00A75116" w:rsidRDefault="00B73921" w:rsidP="00333F16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004FCA42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14:paraId="100EE9DF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14:paraId="272EC3B7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  <w:p w14:paraId="48171210" w14:textId="77777777"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14:paraId="61B3D579" w14:textId="77777777" w:rsidTr="00587930">
        <w:trPr>
          <w:trHeight w:val="800"/>
        </w:trPr>
        <w:tc>
          <w:tcPr>
            <w:tcW w:w="630" w:type="dxa"/>
            <w:shd w:val="clear" w:color="auto" w:fill="F2F2F2" w:themeFill="background1" w:themeFillShade="F2"/>
          </w:tcPr>
          <w:p w14:paraId="41FB2E27" w14:textId="77777777" w:rsidR="00B73921" w:rsidRPr="002031DC" w:rsidRDefault="00AC3D12" w:rsidP="00333F16">
            <w:r w:rsidRPr="002031DC">
              <w:t>4.1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5C266635" w14:textId="77777777" w:rsidR="00B73921" w:rsidRPr="002031DC" w:rsidRDefault="00B73921" w:rsidP="00587930">
            <w:pPr>
              <w:jc w:val="both"/>
            </w:pPr>
            <w:r w:rsidRPr="002031DC">
              <w:t>Ar programai įgyvendinti reikalingų lėšų planavimas atitinka konkurso Nuostatų</w:t>
            </w:r>
            <w:r w:rsidR="00AE7026" w:rsidRPr="002031DC">
              <w:t xml:space="preserve"> 38–40 punktuose nurodytus</w:t>
            </w:r>
            <w:r w:rsidRPr="002031DC">
              <w:t xml:space="preserve"> reikalavimus?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82BE981" w14:textId="77777777"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1–4 – </w:t>
            </w:r>
            <w:r w:rsidRPr="002031DC">
              <w:rPr>
                <w:bCs/>
              </w:rPr>
              <w:t xml:space="preserve">iš dalies, </w:t>
            </w:r>
            <w:r w:rsidRPr="002031DC">
              <w:rPr>
                <w:b/>
                <w:bCs/>
              </w:rPr>
              <w:t xml:space="preserve">5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57A9C311" w14:textId="77777777"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14:paraId="26AD4EC6" w14:textId="77777777" w:rsidR="00B73921" w:rsidRPr="00A75116" w:rsidRDefault="00B73921" w:rsidP="00333F16"/>
        </w:tc>
      </w:tr>
      <w:tr w:rsidR="00B73921" w:rsidRPr="00A75116" w14:paraId="1F7D8183" w14:textId="77777777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14:paraId="4B11711A" w14:textId="77777777" w:rsidR="00B73921" w:rsidRPr="002031DC" w:rsidRDefault="00AC3D12" w:rsidP="00333F16">
            <w:r w:rsidRPr="002031DC">
              <w:t>4.2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772CCCBB" w14:textId="77777777" w:rsidR="00B73921" w:rsidRPr="002031DC" w:rsidRDefault="00B73921" w:rsidP="00587930">
            <w:pPr>
              <w:jc w:val="both"/>
            </w:pPr>
            <w:r w:rsidRPr="002031DC">
              <w:t xml:space="preserve">Ar prašomos lėšos aiškiai įvardytos ir detalizuotos?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CB71D6B" w14:textId="77777777"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1–4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5 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67F05288" w14:textId="77777777"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14:paraId="099B223F" w14:textId="77777777" w:rsidR="00B73921" w:rsidRPr="00A75116" w:rsidRDefault="00B73921" w:rsidP="00333F16"/>
        </w:tc>
      </w:tr>
      <w:tr w:rsidR="00B73921" w:rsidRPr="00A75116" w14:paraId="297875D1" w14:textId="77777777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14:paraId="2CDE4207" w14:textId="77777777" w:rsidR="00B73921" w:rsidRPr="002031DC" w:rsidRDefault="00AC3D12" w:rsidP="00333F16">
            <w:r w:rsidRPr="002031DC">
              <w:t>4.3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6597CC4D" w14:textId="77777777" w:rsidR="00B73921" w:rsidRPr="002031DC" w:rsidRDefault="00B73921" w:rsidP="00587930">
            <w:pPr>
              <w:jc w:val="both"/>
            </w:pPr>
            <w:r w:rsidRPr="002031DC">
              <w:t xml:space="preserve">Ar prašomos lėšos bus naudojamos efektyviai?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B8583F0" w14:textId="77777777"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1–4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5 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1C233920" w14:textId="77777777"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14:paraId="0E53372D" w14:textId="77777777" w:rsidR="00B73921" w:rsidRPr="00A75116" w:rsidRDefault="00B73921" w:rsidP="00333F16"/>
        </w:tc>
      </w:tr>
      <w:tr w:rsidR="00B73921" w:rsidRPr="00A75116" w14:paraId="705A2B62" w14:textId="77777777" w:rsidTr="0058793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14:paraId="0D4C9CCF" w14:textId="77777777" w:rsidR="00B73921" w:rsidRPr="002031DC" w:rsidRDefault="00B73921" w:rsidP="00333F16">
            <w:r w:rsidRPr="002031DC">
              <w:t>4.</w:t>
            </w:r>
            <w:r w:rsidR="00AC3D12" w:rsidRPr="002031DC">
              <w:t>4</w:t>
            </w:r>
            <w:r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F28686C" w14:textId="77777777" w:rsidR="00B73921" w:rsidRPr="002031DC" w:rsidRDefault="00B73921" w:rsidP="00587930">
            <w:pPr>
              <w:jc w:val="both"/>
              <w:rPr>
                <w:b/>
              </w:rPr>
            </w:pPr>
            <w:r w:rsidRPr="002031DC">
              <w:t xml:space="preserve">Ar lėšos, kurių reikia programai įgyvendinti, yra susijusios su veiklomis?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C3ACC0D" w14:textId="77777777"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>1–4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5 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56B3003D" w14:textId="77777777"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14:paraId="2C1D051E" w14:textId="77777777" w:rsidR="00B73921" w:rsidRPr="00A75116" w:rsidRDefault="00B73921" w:rsidP="00333F16"/>
        </w:tc>
      </w:tr>
      <w:tr w:rsidR="00AC3D12" w:rsidRPr="00A75116" w14:paraId="2BC0E4A9" w14:textId="77777777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14:paraId="4E3F467C" w14:textId="77777777" w:rsidR="00AC3D12" w:rsidRPr="002031DC" w:rsidRDefault="00AC3D12" w:rsidP="00333F16"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C7FF4DC" w14:textId="77777777" w:rsidR="00AC3D12" w:rsidRPr="002031DC" w:rsidRDefault="00AC3D12" w:rsidP="00333F16">
            <w:pPr>
              <w:jc w:val="center"/>
              <w:rPr>
                <w:b/>
              </w:rPr>
            </w:pPr>
            <w:r w:rsidRPr="002031DC">
              <w:rPr>
                <w:b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14:paraId="03E198C2" w14:textId="77777777" w:rsidR="00AC3D12" w:rsidRPr="00A75116" w:rsidRDefault="00AC3D12" w:rsidP="00333F16"/>
        </w:tc>
        <w:tc>
          <w:tcPr>
            <w:tcW w:w="3825" w:type="dxa"/>
            <w:shd w:val="clear" w:color="auto" w:fill="FFFFFF"/>
          </w:tcPr>
          <w:p w14:paraId="00ADEF45" w14:textId="77777777" w:rsidR="00AC3D12" w:rsidRPr="00A75116" w:rsidRDefault="00AC3D12" w:rsidP="00333F16"/>
        </w:tc>
      </w:tr>
    </w:tbl>
    <w:p w14:paraId="221102E3" w14:textId="77777777"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B97E02" w:rsidRPr="002031DC" w14:paraId="794A196C" w14:textId="77777777" w:rsidTr="008B68C0">
        <w:tc>
          <w:tcPr>
            <w:tcW w:w="7428" w:type="dxa"/>
            <w:vMerge w:val="restart"/>
            <w:shd w:val="clear" w:color="auto" w:fill="F2F2F2" w:themeFill="background1" w:themeFillShade="F2"/>
          </w:tcPr>
          <w:p w14:paraId="01A87521" w14:textId="77777777" w:rsidR="00B97E02" w:rsidRPr="002031DC" w:rsidRDefault="00B97E02" w:rsidP="00333F16">
            <w:pPr>
              <w:rPr>
                <w:sz w:val="28"/>
              </w:rPr>
            </w:pPr>
            <w:r w:rsidRPr="002031DC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6A226BA" w14:textId="77777777" w:rsidR="00B97E02" w:rsidRPr="002031DC" w:rsidRDefault="00B97E02" w:rsidP="00333F16">
            <w:pPr>
              <w:jc w:val="center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14:paraId="05B48474" w14:textId="77777777" w:rsidR="00B97E02" w:rsidRPr="002031DC" w:rsidRDefault="00B97E02" w:rsidP="00333F16">
            <w:pPr>
              <w:jc w:val="center"/>
              <w:rPr>
                <w:sz w:val="28"/>
              </w:rPr>
            </w:pPr>
            <w:r w:rsidRPr="002031DC">
              <w:rPr>
                <w:b/>
                <w:szCs w:val="22"/>
              </w:rPr>
              <w:t>Skiriami balai</w:t>
            </w:r>
          </w:p>
        </w:tc>
      </w:tr>
      <w:tr w:rsidR="00B97E02" w:rsidRPr="00A75116" w14:paraId="273CA771" w14:textId="77777777" w:rsidTr="008B68C0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14:paraId="2ABE48C9" w14:textId="77777777" w:rsidR="00B97E02" w:rsidRPr="00A75116" w:rsidRDefault="00B97E02" w:rsidP="00333F16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60FB06EF" w14:textId="77777777" w:rsidR="00B97E02" w:rsidRPr="00A75116" w:rsidRDefault="00B97E02" w:rsidP="00333F16">
            <w:pPr>
              <w:jc w:val="center"/>
              <w:rPr>
                <w:b/>
              </w:rPr>
            </w:pPr>
            <w:r w:rsidRPr="002031DC">
              <w:rPr>
                <w:b/>
                <w:szCs w:val="22"/>
              </w:rPr>
              <w:t>75</w:t>
            </w:r>
          </w:p>
        </w:tc>
        <w:tc>
          <w:tcPr>
            <w:tcW w:w="3833" w:type="dxa"/>
            <w:shd w:val="clear" w:color="auto" w:fill="FFFFFF"/>
          </w:tcPr>
          <w:p w14:paraId="1945D658" w14:textId="77777777" w:rsidR="00B97E02" w:rsidRPr="00A75116" w:rsidRDefault="00B97E02" w:rsidP="00333F16"/>
        </w:tc>
      </w:tr>
    </w:tbl>
    <w:p w14:paraId="5CF059BD" w14:textId="77777777"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073"/>
      </w:tblGrid>
      <w:tr w:rsidR="00B97E02" w:rsidRPr="002031DC" w14:paraId="374C484A" w14:textId="77777777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14:paraId="0BAF90A3" w14:textId="77777777" w:rsidR="00B97E02" w:rsidRPr="002031DC" w:rsidRDefault="00B97E02" w:rsidP="00333F16">
            <w:pPr>
              <w:ind w:right="-708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Rekomenduojama skirti suma programai įgyvendinti, pagrindimas</w:t>
            </w:r>
          </w:p>
        </w:tc>
        <w:tc>
          <w:tcPr>
            <w:tcW w:w="7073" w:type="dxa"/>
            <w:shd w:val="clear" w:color="auto" w:fill="FFFFFF"/>
          </w:tcPr>
          <w:p w14:paraId="694C830C" w14:textId="77777777" w:rsidR="00B97E02" w:rsidRPr="002031DC" w:rsidRDefault="00B97E02" w:rsidP="00333F16">
            <w:pPr>
              <w:rPr>
                <w:sz w:val="28"/>
              </w:rPr>
            </w:pPr>
          </w:p>
        </w:tc>
      </w:tr>
    </w:tbl>
    <w:p w14:paraId="047E0C10" w14:textId="77777777" w:rsidR="00B97E02" w:rsidRPr="002031DC" w:rsidRDefault="00B97E02" w:rsidP="00B97E02">
      <w:pPr>
        <w:rPr>
          <w:sz w:val="18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B97E02" w:rsidRPr="002031DC" w14:paraId="4F0E4CF2" w14:textId="77777777" w:rsidTr="00333F16">
        <w:trPr>
          <w:trHeight w:val="272"/>
        </w:trPr>
        <w:tc>
          <w:tcPr>
            <w:tcW w:w="14508" w:type="dxa"/>
            <w:shd w:val="clear" w:color="auto" w:fill="FFFFFF"/>
          </w:tcPr>
          <w:p w14:paraId="72A178BB" w14:textId="77777777" w:rsidR="00B97E02" w:rsidRPr="002031DC" w:rsidRDefault="00B97E02" w:rsidP="00333F16">
            <w:pPr>
              <w:rPr>
                <w:b/>
                <w:color w:val="000000"/>
                <w:sz w:val="28"/>
              </w:rPr>
            </w:pPr>
            <w:r w:rsidRPr="002031DC">
              <w:rPr>
                <w:b/>
                <w:color w:val="000000"/>
                <w:szCs w:val="22"/>
              </w:rPr>
              <w:t xml:space="preserve">Vertintojo pastabos, komentarai, nuomonė apie programą, pareiškėją, išskiriant programos pranašumus ir trūkumus, tobulinimo siūlymai </w:t>
            </w:r>
          </w:p>
          <w:p w14:paraId="37A1A39B" w14:textId="77777777" w:rsidR="00B97E02" w:rsidRPr="002031DC" w:rsidRDefault="00B97E02" w:rsidP="00333F16">
            <w:pPr>
              <w:rPr>
                <w:sz w:val="28"/>
              </w:rPr>
            </w:pPr>
            <w:r w:rsidRPr="002031DC">
              <w:rPr>
                <w:i/>
                <w:color w:val="000000"/>
                <w:szCs w:val="22"/>
              </w:rPr>
              <w:lastRenderedPageBreak/>
              <w:t>(ne daugiau kaip 300 žodžių)</w:t>
            </w:r>
          </w:p>
        </w:tc>
      </w:tr>
    </w:tbl>
    <w:p w14:paraId="72AABF5F" w14:textId="77777777" w:rsidR="00B97E02" w:rsidRPr="00A75116" w:rsidRDefault="00B97E02" w:rsidP="00B97E02">
      <w:pPr>
        <w:rPr>
          <w:vanish/>
          <w:sz w:val="22"/>
          <w:szCs w:val="22"/>
        </w:rPr>
      </w:pPr>
    </w:p>
    <w:p w14:paraId="1B7C8917" w14:textId="77777777" w:rsidR="00B97E02" w:rsidRPr="00A75116" w:rsidRDefault="00B97E02" w:rsidP="00B97E02">
      <w:pPr>
        <w:tabs>
          <w:tab w:val="left" w:pos="2785"/>
        </w:tabs>
        <w:rPr>
          <w:sz w:val="22"/>
          <w:szCs w:val="22"/>
        </w:rPr>
      </w:pPr>
      <w:r w:rsidRPr="00A75116">
        <w:rPr>
          <w:sz w:val="22"/>
          <w:szCs w:val="22"/>
        </w:rPr>
        <w:tab/>
      </w:r>
    </w:p>
    <w:p w14:paraId="13A3E849" w14:textId="77777777" w:rsidR="00B97E02" w:rsidRPr="00A75116" w:rsidRDefault="00B97E02" w:rsidP="00B97E02">
      <w:pPr>
        <w:tabs>
          <w:tab w:val="left" w:pos="10260"/>
        </w:tabs>
        <w:jc w:val="both"/>
        <w:outlineLvl w:val="0"/>
        <w:rPr>
          <w:color w:val="00B050"/>
          <w:sz w:val="22"/>
          <w:szCs w:val="22"/>
        </w:rPr>
      </w:pPr>
    </w:p>
    <w:p w14:paraId="12130373" w14:textId="77777777" w:rsidR="00B97E02" w:rsidRPr="002031DC" w:rsidRDefault="00B97E02" w:rsidP="00B97E02">
      <w:pPr>
        <w:tabs>
          <w:tab w:val="left" w:pos="10260"/>
        </w:tabs>
        <w:jc w:val="both"/>
        <w:outlineLvl w:val="0"/>
        <w:rPr>
          <w:i/>
        </w:rPr>
      </w:pPr>
      <w:r w:rsidRPr="00A75116">
        <w:rPr>
          <w:sz w:val="22"/>
          <w:szCs w:val="22"/>
        </w:rPr>
        <w:t xml:space="preserve"> </w:t>
      </w:r>
      <w:r w:rsidRPr="002031DC">
        <w:t>Vertintojas</w:t>
      </w:r>
      <w:proofErr w:type="gramStart"/>
      <w:r w:rsidRPr="002031DC">
        <w:t xml:space="preserve">                                       </w:t>
      </w:r>
      <w:proofErr w:type="gramEnd"/>
      <w:r w:rsidRPr="002031DC">
        <w:t>__________________                                         _______________________</w:t>
      </w:r>
      <w:r w:rsidRPr="002031DC">
        <w:rPr>
          <w:i/>
        </w:rPr>
        <w:t xml:space="preserve"> </w:t>
      </w:r>
    </w:p>
    <w:p w14:paraId="7E781ED3" w14:textId="59F91A7F" w:rsidR="00B97E02" w:rsidRPr="002031DC" w:rsidRDefault="00B97E02" w:rsidP="00B97E02">
      <w:pPr>
        <w:tabs>
          <w:tab w:val="left" w:pos="10260"/>
        </w:tabs>
        <w:jc w:val="both"/>
        <w:outlineLvl w:val="0"/>
      </w:pPr>
      <w:r w:rsidRPr="002031DC">
        <w:rPr>
          <w:i/>
        </w:rPr>
        <w:t xml:space="preserve">                                               </w:t>
      </w:r>
      <w:r w:rsidR="00BA07FC" w:rsidRPr="002031DC">
        <w:rPr>
          <w:i/>
        </w:rPr>
        <w:t xml:space="preserve">                  </w:t>
      </w:r>
      <w:r w:rsidRPr="002031DC">
        <w:rPr>
          <w:i/>
        </w:rPr>
        <w:t>(parašas)</w:t>
      </w:r>
      <w:proofErr w:type="gramStart"/>
      <w:r w:rsidRPr="002031DC">
        <w:rPr>
          <w:i/>
        </w:rPr>
        <w:t xml:space="preserve">                                             </w:t>
      </w:r>
      <w:r w:rsidR="00573D38">
        <w:rPr>
          <w:i/>
        </w:rPr>
        <w:t xml:space="preserve">               </w:t>
      </w:r>
      <w:r w:rsidRPr="002031DC">
        <w:rPr>
          <w:i/>
        </w:rPr>
        <w:t xml:space="preserve"> </w:t>
      </w:r>
      <w:proofErr w:type="gramEnd"/>
      <w:r w:rsidRPr="002031DC">
        <w:rPr>
          <w:i/>
        </w:rPr>
        <w:t>(vardas ir pavardė)</w:t>
      </w:r>
    </w:p>
    <w:p w14:paraId="614392DD" w14:textId="77777777" w:rsidR="00B97E02" w:rsidRPr="00A75116" w:rsidRDefault="00B97E02" w:rsidP="00427304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sectPr w:rsidR="00B97E02" w:rsidRPr="00A75116" w:rsidSect="003C2E17">
      <w:headerReference w:type="default" r:id="rId9"/>
      <w:pgSz w:w="16838" w:h="11906" w:orient="landscape"/>
      <w:pgMar w:top="1134" w:right="53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35560" w14:textId="77777777" w:rsidR="00F855AE" w:rsidRDefault="00F855AE">
      <w:r>
        <w:separator/>
      </w:r>
    </w:p>
  </w:endnote>
  <w:endnote w:type="continuationSeparator" w:id="0">
    <w:p w14:paraId="4CBF6C11" w14:textId="77777777" w:rsidR="00F855AE" w:rsidRDefault="00F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1340" w14:textId="77777777" w:rsidR="00F855AE" w:rsidRDefault="00F855AE">
      <w:r>
        <w:separator/>
      </w:r>
    </w:p>
  </w:footnote>
  <w:footnote w:type="continuationSeparator" w:id="0">
    <w:p w14:paraId="2EF37614" w14:textId="77777777" w:rsidR="00F855AE" w:rsidRDefault="00F8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2162" w14:textId="6BA487CD" w:rsidR="00FE2DFA" w:rsidRDefault="00447D70">
    <w:pPr>
      <w:pStyle w:val="Antrats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982ECA">
      <w:rPr>
        <w:noProof/>
      </w:rPr>
      <w:t>2</w:t>
    </w:r>
    <w:r>
      <w:rPr>
        <w:noProof/>
      </w:rPr>
      <w:fldChar w:fldCharType="end"/>
    </w:r>
  </w:p>
  <w:p w14:paraId="3FC49D4B" w14:textId="77777777" w:rsidR="00FE2DFA" w:rsidRDefault="00FE2D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17C5"/>
    <w:rsid w:val="00033CAF"/>
    <w:rsid w:val="0003669F"/>
    <w:rsid w:val="00040597"/>
    <w:rsid w:val="00040A7F"/>
    <w:rsid w:val="0004793E"/>
    <w:rsid w:val="00055CB8"/>
    <w:rsid w:val="00060E9C"/>
    <w:rsid w:val="000615CC"/>
    <w:rsid w:val="000618DB"/>
    <w:rsid w:val="000720DB"/>
    <w:rsid w:val="000805FA"/>
    <w:rsid w:val="00080F19"/>
    <w:rsid w:val="000843BE"/>
    <w:rsid w:val="00087706"/>
    <w:rsid w:val="00092455"/>
    <w:rsid w:val="00093A21"/>
    <w:rsid w:val="00095309"/>
    <w:rsid w:val="000A0160"/>
    <w:rsid w:val="000A1BF2"/>
    <w:rsid w:val="000A7049"/>
    <w:rsid w:val="000B04B6"/>
    <w:rsid w:val="000B0C14"/>
    <w:rsid w:val="000B2511"/>
    <w:rsid w:val="000C2A99"/>
    <w:rsid w:val="000C3980"/>
    <w:rsid w:val="000D23C8"/>
    <w:rsid w:val="000D2830"/>
    <w:rsid w:val="000D7A96"/>
    <w:rsid w:val="000E24CC"/>
    <w:rsid w:val="000E27C4"/>
    <w:rsid w:val="000E2FB0"/>
    <w:rsid w:val="000E45DE"/>
    <w:rsid w:val="000E60C7"/>
    <w:rsid w:val="000F09A3"/>
    <w:rsid w:val="000F6BA6"/>
    <w:rsid w:val="00101112"/>
    <w:rsid w:val="00104C8B"/>
    <w:rsid w:val="00111735"/>
    <w:rsid w:val="0011582A"/>
    <w:rsid w:val="001235AF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53F6E"/>
    <w:rsid w:val="00155514"/>
    <w:rsid w:val="00157C3C"/>
    <w:rsid w:val="001613C6"/>
    <w:rsid w:val="001663CF"/>
    <w:rsid w:val="00173138"/>
    <w:rsid w:val="0017358C"/>
    <w:rsid w:val="00174627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5432"/>
    <w:rsid w:val="001A72A1"/>
    <w:rsid w:val="001B3542"/>
    <w:rsid w:val="001C2DE3"/>
    <w:rsid w:val="001C2F2A"/>
    <w:rsid w:val="001C67B1"/>
    <w:rsid w:val="001E140E"/>
    <w:rsid w:val="001E31E4"/>
    <w:rsid w:val="001E47AB"/>
    <w:rsid w:val="001F5095"/>
    <w:rsid w:val="001F6B16"/>
    <w:rsid w:val="002031DC"/>
    <w:rsid w:val="00203C23"/>
    <w:rsid w:val="00215FB4"/>
    <w:rsid w:val="00216D5F"/>
    <w:rsid w:val="00221CC3"/>
    <w:rsid w:val="00233523"/>
    <w:rsid w:val="002373D4"/>
    <w:rsid w:val="002469E0"/>
    <w:rsid w:val="00251432"/>
    <w:rsid w:val="002551F3"/>
    <w:rsid w:val="00256CB4"/>
    <w:rsid w:val="002618D2"/>
    <w:rsid w:val="00264681"/>
    <w:rsid w:val="0026728F"/>
    <w:rsid w:val="00272D07"/>
    <w:rsid w:val="00277ECB"/>
    <w:rsid w:val="0028144F"/>
    <w:rsid w:val="00281527"/>
    <w:rsid w:val="0028213E"/>
    <w:rsid w:val="002853ED"/>
    <w:rsid w:val="002911E4"/>
    <w:rsid w:val="00291926"/>
    <w:rsid w:val="00293705"/>
    <w:rsid w:val="002A0995"/>
    <w:rsid w:val="002A3B96"/>
    <w:rsid w:val="002A5C3D"/>
    <w:rsid w:val="002A64A9"/>
    <w:rsid w:val="002A6FC0"/>
    <w:rsid w:val="002B5CBD"/>
    <w:rsid w:val="002C7DC1"/>
    <w:rsid w:val="002D2238"/>
    <w:rsid w:val="002D309E"/>
    <w:rsid w:val="002D55F6"/>
    <w:rsid w:val="002E2293"/>
    <w:rsid w:val="002F748B"/>
    <w:rsid w:val="002F7EBD"/>
    <w:rsid w:val="0030315B"/>
    <w:rsid w:val="003056C1"/>
    <w:rsid w:val="0031072E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46BAF"/>
    <w:rsid w:val="00350413"/>
    <w:rsid w:val="0035315E"/>
    <w:rsid w:val="0035386D"/>
    <w:rsid w:val="00354A13"/>
    <w:rsid w:val="00355358"/>
    <w:rsid w:val="003659D8"/>
    <w:rsid w:val="00367D0B"/>
    <w:rsid w:val="00375BEA"/>
    <w:rsid w:val="003763AC"/>
    <w:rsid w:val="00383132"/>
    <w:rsid w:val="003A54E1"/>
    <w:rsid w:val="003B3F53"/>
    <w:rsid w:val="003C2E17"/>
    <w:rsid w:val="003C5AB8"/>
    <w:rsid w:val="003D572A"/>
    <w:rsid w:val="003E5C84"/>
    <w:rsid w:val="003E7931"/>
    <w:rsid w:val="003E7D38"/>
    <w:rsid w:val="003F2FEB"/>
    <w:rsid w:val="003F433E"/>
    <w:rsid w:val="003F4616"/>
    <w:rsid w:val="00404E54"/>
    <w:rsid w:val="004064C4"/>
    <w:rsid w:val="004129F0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47D70"/>
    <w:rsid w:val="00450B7A"/>
    <w:rsid w:val="0045746A"/>
    <w:rsid w:val="00465BE5"/>
    <w:rsid w:val="00466039"/>
    <w:rsid w:val="00467EC8"/>
    <w:rsid w:val="004731B1"/>
    <w:rsid w:val="00480E05"/>
    <w:rsid w:val="004817BB"/>
    <w:rsid w:val="00483DD1"/>
    <w:rsid w:val="00484DB3"/>
    <w:rsid w:val="00491B64"/>
    <w:rsid w:val="00497080"/>
    <w:rsid w:val="004A43B0"/>
    <w:rsid w:val="004A7034"/>
    <w:rsid w:val="004B0E8A"/>
    <w:rsid w:val="004C0596"/>
    <w:rsid w:val="004C3F25"/>
    <w:rsid w:val="004C45AB"/>
    <w:rsid w:val="004C62E7"/>
    <w:rsid w:val="004C6711"/>
    <w:rsid w:val="004C6788"/>
    <w:rsid w:val="004D3E92"/>
    <w:rsid w:val="004D3F15"/>
    <w:rsid w:val="004E0F30"/>
    <w:rsid w:val="004E1B56"/>
    <w:rsid w:val="004E5A22"/>
    <w:rsid w:val="00504A25"/>
    <w:rsid w:val="005059BC"/>
    <w:rsid w:val="00511932"/>
    <w:rsid w:val="00517556"/>
    <w:rsid w:val="00520D3B"/>
    <w:rsid w:val="005240F9"/>
    <w:rsid w:val="00530642"/>
    <w:rsid w:val="0053413A"/>
    <w:rsid w:val="00534EF1"/>
    <w:rsid w:val="00536FE9"/>
    <w:rsid w:val="005406FA"/>
    <w:rsid w:val="005441A2"/>
    <w:rsid w:val="005457BF"/>
    <w:rsid w:val="00550E82"/>
    <w:rsid w:val="005556A0"/>
    <w:rsid w:val="00555766"/>
    <w:rsid w:val="00565AC3"/>
    <w:rsid w:val="00566D12"/>
    <w:rsid w:val="00570833"/>
    <w:rsid w:val="00571D1E"/>
    <w:rsid w:val="0057245F"/>
    <w:rsid w:val="00573D38"/>
    <w:rsid w:val="005821D0"/>
    <w:rsid w:val="005826F6"/>
    <w:rsid w:val="00584EC4"/>
    <w:rsid w:val="00587930"/>
    <w:rsid w:val="005906B7"/>
    <w:rsid w:val="005921C1"/>
    <w:rsid w:val="005B1FC2"/>
    <w:rsid w:val="005B3A69"/>
    <w:rsid w:val="005B3FC8"/>
    <w:rsid w:val="005B5E58"/>
    <w:rsid w:val="005C05D3"/>
    <w:rsid w:val="005D1E04"/>
    <w:rsid w:val="005D22C2"/>
    <w:rsid w:val="005D3190"/>
    <w:rsid w:val="005D3FE4"/>
    <w:rsid w:val="005E0065"/>
    <w:rsid w:val="005E2772"/>
    <w:rsid w:val="005E524E"/>
    <w:rsid w:val="005E6EB7"/>
    <w:rsid w:val="005F7955"/>
    <w:rsid w:val="0060299D"/>
    <w:rsid w:val="0060660D"/>
    <w:rsid w:val="0060702B"/>
    <w:rsid w:val="00607A12"/>
    <w:rsid w:val="006129B8"/>
    <w:rsid w:val="00614CBD"/>
    <w:rsid w:val="00624775"/>
    <w:rsid w:val="00627A5F"/>
    <w:rsid w:val="00631209"/>
    <w:rsid w:val="00634746"/>
    <w:rsid w:val="00640A41"/>
    <w:rsid w:val="00640ADD"/>
    <w:rsid w:val="006539FE"/>
    <w:rsid w:val="006563E0"/>
    <w:rsid w:val="00661E27"/>
    <w:rsid w:val="00665DB6"/>
    <w:rsid w:val="00673482"/>
    <w:rsid w:val="0067495B"/>
    <w:rsid w:val="00676F3F"/>
    <w:rsid w:val="0068211D"/>
    <w:rsid w:val="006838E7"/>
    <w:rsid w:val="00693E3D"/>
    <w:rsid w:val="00694157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730"/>
    <w:rsid w:val="006D11E0"/>
    <w:rsid w:val="006D1F03"/>
    <w:rsid w:val="006D79C9"/>
    <w:rsid w:val="006E0E7E"/>
    <w:rsid w:val="006E1293"/>
    <w:rsid w:val="006E413F"/>
    <w:rsid w:val="006E7584"/>
    <w:rsid w:val="006F1425"/>
    <w:rsid w:val="006F1BAD"/>
    <w:rsid w:val="00704EA1"/>
    <w:rsid w:val="0070578D"/>
    <w:rsid w:val="00712D48"/>
    <w:rsid w:val="007228AA"/>
    <w:rsid w:val="00724199"/>
    <w:rsid w:val="007244D6"/>
    <w:rsid w:val="00725B7D"/>
    <w:rsid w:val="00731292"/>
    <w:rsid w:val="007444B7"/>
    <w:rsid w:val="0075068F"/>
    <w:rsid w:val="00750EB8"/>
    <w:rsid w:val="00752CD1"/>
    <w:rsid w:val="00765A6A"/>
    <w:rsid w:val="007666B6"/>
    <w:rsid w:val="00775059"/>
    <w:rsid w:val="007761E8"/>
    <w:rsid w:val="00783B18"/>
    <w:rsid w:val="00786FD2"/>
    <w:rsid w:val="00787354"/>
    <w:rsid w:val="007A028E"/>
    <w:rsid w:val="007A1316"/>
    <w:rsid w:val="007A227D"/>
    <w:rsid w:val="007B403B"/>
    <w:rsid w:val="007C0AAB"/>
    <w:rsid w:val="007C484A"/>
    <w:rsid w:val="007C4D34"/>
    <w:rsid w:val="007C54AE"/>
    <w:rsid w:val="007C744F"/>
    <w:rsid w:val="007C7A07"/>
    <w:rsid w:val="007D095D"/>
    <w:rsid w:val="007D1F1E"/>
    <w:rsid w:val="007D20DC"/>
    <w:rsid w:val="007D4D48"/>
    <w:rsid w:val="007D6DE8"/>
    <w:rsid w:val="007E1A8E"/>
    <w:rsid w:val="007E313D"/>
    <w:rsid w:val="007F145A"/>
    <w:rsid w:val="007F25F4"/>
    <w:rsid w:val="007F2E4C"/>
    <w:rsid w:val="007F35F8"/>
    <w:rsid w:val="007F450A"/>
    <w:rsid w:val="008026FC"/>
    <w:rsid w:val="00807C02"/>
    <w:rsid w:val="00814E43"/>
    <w:rsid w:val="00821112"/>
    <w:rsid w:val="00830DE6"/>
    <w:rsid w:val="008405CE"/>
    <w:rsid w:val="00844733"/>
    <w:rsid w:val="00845746"/>
    <w:rsid w:val="008517BA"/>
    <w:rsid w:val="008613F5"/>
    <w:rsid w:val="00861602"/>
    <w:rsid w:val="008842CF"/>
    <w:rsid w:val="00885319"/>
    <w:rsid w:val="0088573B"/>
    <w:rsid w:val="00885A4E"/>
    <w:rsid w:val="00891DE3"/>
    <w:rsid w:val="0089258A"/>
    <w:rsid w:val="008A4279"/>
    <w:rsid w:val="008A6785"/>
    <w:rsid w:val="008A7174"/>
    <w:rsid w:val="008B0F76"/>
    <w:rsid w:val="008B2556"/>
    <w:rsid w:val="008B68C0"/>
    <w:rsid w:val="008C502B"/>
    <w:rsid w:val="008C651A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211F"/>
    <w:rsid w:val="00923BFE"/>
    <w:rsid w:val="0092534D"/>
    <w:rsid w:val="00926CF0"/>
    <w:rsid w:val="009404FF"/>
    <w:rsid w:val="009418AF"/>
    <w:rsid w:val="00943EAF"/>
    <w:rsid w:val="0094496C"/>
    <w:rsid w:val="0095659E"/>
    <w:rsid w:val="00965EDA"/>
    <w:rsid w:val="009672C4"/>
    <w:rsid w:val="00967809"/>
    <w:rsid w:val="009821F0"/>
    <w:rsid w:val="00982ECA"/>
    <w:rsid w:val="00984B9F"/>
    <w:rsid w:val="009870FF"/>
    <w:rsid w:val="00991D2A"/>
    <w:rsid w:val="009A1DB7"/>
    <w:rsid w:val="009B3838"/>
    <w:rsid w:val="009B77E6"/>
    <w:rsid w:val="009C4211"/>
    <w:rsid w:val="009C57B6"/>
    <w:rsid w:val="009C5A01"/>
    <w:rsid w:val="009D3A71"/>
    <w:rsid w:val="009D5239"/>
    <w:rsid w:val="009E052A"/>
    <w:rsid w:val="009E6396"/>
    <w:rsid w:val="009E7BE0"/>
    <w:rsid w:val="009F0B58"/>
    <w:rsid w:val="009F4D73"/>
    <w:rsid w:val="00A03E1A"/>
    <w:rsid w:val="00A066A4"/>
    <w:rsid w:val="00A13150"/>
    <w:rsid w:val="00A140B1"/>
    <w:rsid w:val="00A146E6"/>
    <w:rsid w:val="00A1643F"/>
    <w:rsid w:val="00A25AE0"/>
    <w:rsid w:val="00A27D98"/>
    <w:rsid w:val="00A42C37"/>
    <w:rsid w:val="00A53630"/>
    <w:rsid w:val="00A6089A"/>
    <w:rsid w:val="00A644A4"/>
    <w:rsid w:val="00A64B48"/>
    <w:rsid w:val="00A66583"/>
    <w:rsid w:val="00A749B2"/>
    <w:rsid w:val="00A75116"/>
    <w:rsid w:val="00A81FB6"/>
    <w:rsid w:val="00A82B15"/>
    <w:rsid w:val="00A85061"/>
    <w:rsid w:val="00A955A3"/>
    <w:rsid w:val="00AA0441"/>
    <w:rsid w:val="00AA3E99"/>
    <w:rsid w:val="00AA5CDE"/>
    <w:rsid w:val="00AB3281"/>
    <w:rsid w:val="00AB7476"/>
    <w:rsid w:val="00AC3D12"/>
    <w:rsid w:val="00AC5976"/>
    <w:rsid w:val="00AD0E63"/>
    <w:rsid w:val="00AD188F"/>
    <w:rsid w:val="00AD6128"/>
    <w:rsid w:val="00AE0362"/>
    <w:rsid w:val="00AE086B"/>
    <w:rsid w:val="00AE3732"/>
    <w:rsid w:val="00AE7026"/>
    <w:rsid w:val="00B075FF"/>
    <w:rsid w:val="00B26103"/>
    <w:rsid w:val="00B26603"/>
    <w:rsid w:val="00B314F0"/>
    <w:rsid w:val="00B36443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73921"/>
    <w:rsid w:val="00B83453"/>
    <w:rsid w:val="00B85E1B"/>
    <w:rsid w:val="00B97376"/>
    <w:rsid w:val="00B97E02"/>
    <w:rsid w:val="00BA07FC"/>
    <w:rsid w:val="00BA1211"/>
    <w:rsid w:val="00BA5194"/>
    <w:rsid w:val="00BA7823"/>
    <w:rsid w:val="00BA7D31"/>
    <w:rsid w:val="00BB1A75"/>
    <w:rsid w:val="00BB1A9E"/>
    <w:rsid w:val="00BB24BB"/>
    <w:rsid w:val="00BB4895"/>
    <w:rsid w:val="00BB5324"/>
    <w:rsid w:val="00BB54E7"/>
    <w:rsid w:val="00BC2B26"/>
    <w:rsid w:val="00BD5004"/>
    <w:rsid w:val="00BE03E9"/>
    <w:rsid w:val="00BE7AE8"/>
    <w:rsid w:val="00C03C6D"/>
    <w:rsid w:val="00C05B34"/>
    <w:rsid w:val="00C06710"/>
    <w:rsid w:val="00C06CDB"/>
    <w:rsid w:val="00C1516A"/>
    <w:rsid w:val="00C17B61"/>
    <w:rsid w:val="00C35445"/>
    <w:rsid w:val="00C37EBF"/>
    <w:rsid w:val="00C4399A"/>
    <w:rsid w:val="00C456C9"/>
    <w:rsid w:val="00C46674"/>
    <w:rsid w:val="00C477B2"/>
    <w:rsid w:val="00C56D5F"/>
    <w:rsid w:val="00C72C15"/>
    <w:rsid w:val="00C72F4C"/>
    <w:rsid w:val="00C81FAE"/>
    <w:rsid w:val="00C84D53"/>
    <w:rsid w:val="00C87186"/>
    <w:rsid w:val="00C91F5E"/>
    <w:rsid w:val="00CA149F"/>
    <w:rsid w:val="00CA33C0"/>
    <w:rsid w:val="00CA489F"/>
    <w:rsid w:val="00CB2846"/>
    <w:rsid w:val="00CB6CCA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755E"/>
    <w:rsid w:val="00D04786"/>
    <w:rsid w:val="00D217AC"/>
    <w:rsid w:val="00D21D3D"/>
    <w:rsid w:val="00D230DE"/>
    <w:rsid w:val="00D27EFE"/>
    <w:rsid w:val="00D30BD0"/>
    <w:rsid w:val="00D35C46"/>
    <w:rsid w:val="00D36602"/>
    <w:rsid w:val="00D4303F"/>
    <w:rsid w:val="00D510B0"/>
    <w:rsid w:val="00D51A5A"/>
    <w:rsid w:val="00D533DB"/>
    <w:rsid w:val="00D702A7"/>
    <w:rsid w:val="00D7494A"/>
    <w:rsid w:val="00D80EF6"/>
    <w:rsid w:val="00D834D6"/>
    <w:rsid w:val="00D84AC3"/>
    <w:rsid w:val="00D856B6"/>
    <w:rsid w:val="00D93196"/>
    <w:rsid w:val="00DA2456"/>
    <w:rsid w:val="00DA304B"/>
    <w:rsid w:val="00DA380C"/>
    <w:rsid w:val="00DA7642"/>
    <w:rsid w:val="00DA7F0F"/>
    <w:rsid w:val="00DB1B55"/>
    <w:rsid w:val="00DB501E"/>
    <w:rsid w:val="00DB5079"/>
    <w:rsid w:val="00DC1D66"/>
    <w:rsid w:val="00DD3965"/>
    <w:rsid w:val="00DD62CA"/>
    <w:rsid w:val="00DE1A12"/>
    <w:rsid w:val="00DE4FB8"/>
    <w:rsid w:val="00DF1AF5"/>
    <w:rsid w:val="00DF1B6F"/>
    <w:rsid w:val="00DF297F"/>
    <w:rsid w:val="00E025E3"/>
    <w:rsid w:val="00E160DB"/>
    <w:rsid w:val="00E17C8E"/>
    <w:rsid w:val="00E252E5"/>
    <w:rsid w:val="00E3030D"/>
    <w:rsid w:val="00E42708"/>
    <w:rsid w:val="00E46C69"/>
    <w:rsid w:val="00E533D9"/>
    <w:rsid w:val="00E54625"/>
    <w:rsid w:val="00E5545A"/>
    <w:rsid w:val="00E55A3B"/>
    <w:rsid w:val="00E57024"/>
    <w:rsid w:val="00E70543"/>
    <w:rsid w:val="00E7366F"/>
    <w:rsid w:val="00E77859"/>
    <w:rsid w:val="00E82B49"/>
    <w:rsid w:val="00E85FDD"/>
    <w:rsid w:val="00E87F10"/>
    <w:rsid w:val="00E952F0"/>
    <w:rsid w:val="00EA050B"/>
    <w:rsid w:val="00EA3F8D"/>
    <w:rsid w:val="00EA7523"/>
    <w:rsid w:val="00EB08C2"/>
    <w:rsid w:val="00EB1710"/>
    <w:rsid w:val="00EB341C"/>
    <w:rsid w:val="00ED1215"/>
    <w:rsid w:val="00ED5704"/>
    <w:rsid w:val="00EE039E"/>
    <w:rsid w:val="00EE292B"/>
    <w:rsid w:val="00EE3CF0"/>
    <w:rsid w:val="00EE7D45"/>
    <w:rsid w:val="00EF38ED"/>
    <w:rsid w:val="00EF41F1"/>
    <w:rsid w:val="00F02593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1DEF"/>
    <w:rsid w:val="00F52F72"/>
    <w:rsid w:val="00F61E69"/>
    <w:rsid w:val="00F71E08"/>
    <w:rsid w:val="00F74C7E"/>
    <w:rsid w:val="00F81218"/>
    <w:rsid w:val="00F855AE"/>
    <w:rsid w:val="00F8584E"/>
    <w:rsid w:val="00F866B8"/>
    <w:rsid w:val="00F918D7"/>
    <w:rsid w:val="00FA0C9F"/>
    <w:rsid w:val="00FA2849"/>
    <w:rsid w:val="00FA2A00"/>
    <w:rsid w:val="00FA5135"/>
    <w:rsid w:val="00FB336F"/>
    <w:rsid w:val="00FB4A9D"/>
    <w:rsid w:val="00FD00C9"/>
    <w:rsid w:val="00FD6A58"/>
    <w:rsid w:val="00FE2DFA"/>
    <w:rsid w:val="00FF162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0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C9FB-421E-48DA-A820-E336F91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3941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Asta Šulskytė</cp:lastModifiedBy>
  <cp:revision>2</cp:revision>
  <cp:lastPrinted>2017-02-02T15:30:00Z</cp:lastPrinted>
  <dcterms:created xsi:type="dcterms:W3CDTF">2017-03-02T09:56:00Z</dcterms:created>
  <dcterms:modified xsi:type="dcterms:W3CDTF">2017-03-02T09:56:00Z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-137616267</vt:i4>
  </property>
  <property fmtid="{D5CDD505-2E9C-101B-9397-08002B2CF9AE}" pid="3" name="_NewReviewCycle">
    <vt:lpwstr/>
  </property>
  <property fmtid="{D5CDD505-2E9C-101B-9397-08002B2CF9AE}" pid="4" name="_EmailSubject">
    <vt:lpwstr>Jaunimo organizacijų stiprinimo nuostatai</vt:lpwstr>
  </property>
  <property fmtid="{D5CDD505-2E9C-101B-9397-08002B2CF9AE}" pid="5" name="_AuthorEmail">
    <vt:lpwstr>Rita.Andrejeva@socmin.lt</vt:lpwstr>
  </property>
  <property fmtid="{D5CDD505-2E9C-101B-9397-08002B2CF9AE}" pid="6" name="_AuthorEmailDisplayName">
    <vt:lpwstr>Rita Andrejeva</vt:lpwstr>
  </property>
  <property fmtid="{D5CDD505-2E9C-101B-9397-08002B2CF9AE}" pid="7" name="_PreviousAdHocReviewCycleID">
    <vt:i4>-137616267</vt:i4>
  </property>
  <property fmtid="{D5CDD505-2E9C-101B-9397-08002B2CF9AE}" pid="8" name="_ReviewingToolsShownOnce">
    <vt:lpwstr/>
  </property>
</Properties>
</file>