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320"/>
          <w:tab w:val="right" w:pos="8640"/>
        </w:tabs>
        <w:suppressAutoHyphens/>
        <w:rPr>
          <w:sz w:val="20"/>
          <w:lang w:val="en-AU" w:eastAsia="ar-SA"/>
        </w:rPr>
      </w:pPr>
    </w:p>
    <w:p>
      <w:pPr>
        <w:tabs>
          <w:tab w:val="left" w:pos="5670"/>
        </w:tabs>
        <w:suppressAutoHyphens/>
        <w:ind w:left="5387" w:right="49"/>
        <w:rPr>
          <w:lang w:eastAsia="ar-SA"/>
        </w:rPr>
      </w:pPr>
      <w:r>
        <w:rPr>
          <w:lang w:eastAsia="ar-SA"/>
        </w:rPr>
        <w:t>Šiaulių rajono savivaldybės bendrojo ugdymo mokyklų tinklo pertvarkos 2016–2020 metais bendrojo plano</w:t>
      </w:r>
    </w:p>
    <w:p>
      <w:pPr>
        <w:tabs>
          <w:tab w:val="left" w:pos="5670"/>
        </w:tabs>
        <w:suppressAutoHyphens/>
        <w:ind w:left="5387" w:right="49"/>
        <w:rPr>
          <w:sz w:val="20"/>
          <w:lang w:val="en-AU" w:eastAsia="ar-SA"/>
        </w:rPr>
      </w:pPr>
      <w:r>
        <w:rPr>
          <w:lang w:eastAsia="ar-SA"/>
        </w:rPr>
        <w:t>2</w:t>
      </w:r>
      <w:r>
        <w:rPr>
          <w:lang w:eastAsia="ar-SA"/>
        </w:rPr>
        <w:t xml:space="preserve"> priedas</w:t>
      </w:r>
    </w:p>
    <w:p/>
    <w:p>
      <w:pPr>
        <w:suppressAutoHyphens/>
        <w:rPr>
          <w:sz w:val="20"/>
          <w:lang w:val="en-AU" w:eastAsia="ar-SA"/>
        </w:rPr>
      </w:pPr>
    </w:p>
    <w:p>
      <w:pPr>
        <w:suppressAutoHyphens/>
        <w:jc w:val="center"/>
        <w:rPr>
          <w:b/>
          <w:sz w:val="20"/>
          <w:szCs w:val="24"/>
          <w:lang w:val="en-AU" w:eastAsia="ar-SA"/>
        </w:rPr>
      </w:pPr>
      <w:r>
        <w:rPr>
          <w:b/>
          <w:szCs w:val="24"/>
          <w:lang w:eastAsia="ar-SA"/>
        </w:rPr>
        <w:t>MOKINIŲ VEŽIOJIMO UŽTIKRINIMO 2016–2020 METAIS PLANAS</w:t>
      </w:r>
    </w:p>
    <w:p/>
    <w:p>
      <w:pPr>
        <w:suppressAutoHyphens/>
        <w:rPr>
          <w:sz w:val="20"/>
          <w:lang w:val="en-AU" w:eastAsia="ar-SA"/>
        </w:rPr>
      </w:pPr>
    </w:p>
    <w:p>
      <w:pPr>
        <w:suppressAutoHyphens/>
        <w:ind w:firstLine="540"/>
        <w:jc w:val="both"/>
        <w:rPr>
          <w:sz w:val="20"/>
          <w:lang w:eastAsia="ar-SA"/>
        </w:rPr>
      </w:pPr>
      <w:r>
        <w:rPr>
          <w:szCs w:val="24"/>
          <w:lang w:eastAsia="ar-SA"/>
        </w:rPr>
        <w:t xml:space="preserve">Šiaulių rajono savivaldybėje (toliau – Savivaldybė) mokinių vežiojimas yra organizuojamas vadovaujantis Lietuvos Respublikos švietimo, Lietuvos Respublikos transporto lengvatų ir Vietos savivaldos įstatymais, Bendrojo ugdymo, neformaliojo vaikų švietimo ir profesinio mokymo įstaigų mokinių bei vaikų globos įstaigų auklėtinių važiavimo išlaidų kompensavimo, neatlygintino pavėžėjimo organizavimo tvarkos aprašu (toliau – Aprašas), </w:t>
      </w:r>
      <w:r>
        <w:rPr>
          <w:color w:val="000000"/>
          <w:szCs w:val="24"/>
          <w:lang w:eastAsia="ar-SA"/>
        </w:rPr>
        <w:t>pa</w:t>
      </w:r>
      <w:r>
        <w:rPr>
          <w:szCs w:val="24"/>
          <w:lang w:eastAsia="ar-SA"/>
        </w:rPr>
        <w:t xml:space="preserve">tvirtintu Savivaldybės tarybos </w:t>
      </w:r>
      <w:r>
        <w:rPr>
          <w:color w:val="000000"/>
          <w:szCs w:val="24"/>
          <w:lang w:eastAsia="ar-SA"/>
        </w:rPr>
        <w:t xml:space="preserve">2013 m. spalio 31 d. </w:t>
      </w:r>
      <w:r>
        <w:rPr>
          <w:szCs w:val="24"/>
          <w:lang w:eastAsia="ar-SA"/>
        </w:rPr>
        <w:t xml:space="preserve">sprendimu </w:t>
      </w:r>
      <w:r>
        <w:rPr>
          <w:color w:val="000000"/>
          <w:szCs w:val="24"/>
          <w:lang w:eastAsia="ar-SA"/>
        </w:rPr>
        <w:t>Nr. T-227</w:t>
      </w:r>
      <w:r>
        <w:rPr>
          <w:szCs w:val="24"/>
          <w:lang w:eastAsia="ar-SA"/>
        </w:rPr>
        <w:t xml:space="preserve">. </w:t>
      </w:r>
    </w:p>
    <w:p>
      <w:pPr>
        <w:suppressAutoHyphens/>
        <w:ind w:firstLine="540"/>
        <w:jc w:val="both"/>
        <w:rPr>
          <w:szCs w:val="24"/>
          <w:lang w:eastAsia="ar-SA"/>
        </w:rPr>
      </w:pPr>
      <w:r>
        <w:rPr>
          <w:szCs w:val="24"/>
          <w:lang w:eastAsia="ar-SA"/>
        </w:rPr>
        <w:t>Užtikrinant saugų mokinių vežiojimą į bendrojo ugdymo mokyklas, Savivaldybė:</w:t>
      </w:r>
    </w:p>
    <w:p>
      <w:pPr>
        <w:tabs>
          <w:tab w:val="left" w:pos="720"/>
          <w:tab w:val="left" w:pos="900"/>
        </w:tabs>
        <w:suppressAutoHyphens/>
        <w:ind w:left="900" w:hanging="360"/>
        <w:jc w:val="both"/>
        <w:rPr>
          <w:szCs w:val="24"/>
          <w:lang w:eastAsia="ar-SA"/>
        </w:rPr>
      </w:pPr>
      <w:r>
        <w:rPr>
          <w:szCs w:val="24"/>
          <w:lang w:eastAsia="ar-SA"/>
        </w:rPr>
        <w:t>1</w:t>
      </w:r>
      <w:r>
        <w:rPr>
          <w:szCs w:val="24"/>
          <w:lang w:eastAsia="ar-SA"/>
        </w:rPr>
        <w:t>.</w:t>
        <w:tab/>
        <w:t xml:space="preserve"> Užtikrina mokinių vežimą į mokyklą ir iš jos teisės aktų nustatyta tvarka.</w:t>
      </w:r>
    </w:p>
    <w:p>
      <w:pPr>
        <w:tabs>
          <w:tab w:val="left" w:pos="0"/>
          <w:tab w:val="left" w:pos="720"/>
        </w:tabs>
        <w:suppressAutoHyphens/>
        <w:ind w:firstLine="540"/>
        <w:jc w:val="both"/>
        <w:rPr>
          <w:szCs w:val="24"/>
          <w:lang w:eastAsia="ar-SA"/>
        </w:rPr>
      </w:pPr>
      <w:r>
        <w:rPr>
          <w:szCs w:val="24"/>
          <w:lang w:eastAsia="ar-SA"/>
        </w:rPr>
        <w:t>2</w:t>
      </w:r>
      <w:r>
        <w:rPr>
          <w:szCs w:val="24"/>
          <w:lang w:eastAsia="ar-SA"/>
        </w:rPr>
        <w:t>.</w:t>
        <w:tab/>
        <w:t xml:space="preserve"> Esant poreikiui keičia, papildo Aprašą.</w:t>
      </w:r>
    </w:p>
    <w:p>
      <w:pPr>
        <w:tabs>
          <w:tab w:val="left" w:pos="720"/>
          <w:tab w:val="left" w:pos="900"/>
        </w:tabs>
        <w:suppressAutoHyphens/>
        <w:ind w:left="900" w:hanging="360"/>
        <w:jc w:val="both"/>
        <w:rPr>
          <w:szCs w:val="24"/>
          <w:lang w:eastAsia="ar-SA"/>
        </w:rPr>
      </w:pPr>
      <w:r>
        <w:rPr>
          <w:szCs w:val="24"/>
          <w:lang w:eastAsia="ar-SA"/>
        </w:rPr>
        <w:t>3</w:t>
      </w:r>
      <w:r>
        <w:rPr>
          <w:szCs w:val="24"/>
          <w:lang w:eastAsia="ar-SA"/>
        </w:rPr>
        <w:t>.</w:t>
        <w:tab/>
        <w:t xml:space="preserve"> Operatyviai sprendžia mokinių vežiojimo problemas.</w:t>
      </w:r>
    </w:p>
    <w:p>
      <w:pPr>
        <w:suppressAutoHyphens/>
        <w:ind w:left="1418" w:hanging="1418"/>
        <w:jc w:val="both"/>
        <w:rPr>
          <w:b/>
          <w:sz w:val="20"/>
          <w:szCs w:val="24"/>
          <w:lang w:eastAsia="ar-SA"/>
        </w:rPr>
      </w:pPr>
    </w:p>
    <w:p>
      <w:pPr>
        <w:suppressAutoHyphens/>
        <w:ind w:left="1418" w:hanging="1418"/>
        <w:jc w:val="center"/>
        <w:rPr>
          <w:szCs w:val="24"/>
          <w:lang w:eastAsia="ar-SA"/>
        </w:rPr>
      </w:pPr>
      <w:r>
        <w:rPr>
          <w:b/>
          <w:szCs w:val="24"/>
          <w:lang w:eastAsia="ar-SA"/>
        </w:rPr>
        <w:t>MOKINIŲ VEŽIOJIMO UŽTIKRINIMO MODELIS</w:t>
      </w:r>
    </w:p>
    <w:p>
      <w:pPr>
        <w:suppressAutoHyphens/>
        <w:rPr>
          <w:szCs w:val="24"/>
          <w:lang w:eastAsia="ar-SA"/>
        </w:rPr>
      </w:pPr>
    </w:p>
    <w:p>
      <w:pPr>
        <w:tabs>
          <w:tab w:val="left" w:pos="540"/>
        </w:tabs>
        <w:ind w:firstLine="540"/>
        <w:jc w:val="both"/>
        <w:rPr>
          <w:szCs w:val="24"/>
          <w:lang w:eastAsia="ar-SA"/>
        </w:rPr>
      </w:pPr>
      <w:r>
        <w:rPr>
          <w:b/>
          <w:szCs w:val="24"/>
          <w:lang w:eastAsia="ar-SA"/>
        </w:rPr>
        <w:t>Tikslas</w:t>
      </w:r>
      <w:r>
        <w:rPr>
          <w:szCs w:val="24"/>
          <w:lang w:eastAsia="ar-SA"/>
        </w:rPr>
        <w:t xml:space="preserve"> – užtikrinti saugų mokinių vežiojimą į mokyklas ir iš jų.</w:t>
      </w:r>
    </w:p>
    <w:tbl>
      <w:tblPr>
        <w:tblW w:w="0" w:type="auto"/>
        <w:jc w:val="center"/>
        <w:tblInd w:w="-2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864"/>
        <w:gridCol w:w="2258"/>
        <w:gridCol w:w="1666"/>
      </w:tblGrid>
      <w:tr>
        <w:trPr>
          <w:jc w:val="center"/>
        </w:trPr>
        <w:tc>
          <w:tcPr>
            <w:tcW w:w="556" w:type="dxa"/>
            <w:shd w:val="clear" w:color="auto" w:fill="auto"/>
            <w:vAlign w:val="center"/>
          </w:tcPr>
          <w:p>
            <w:pPr>
              <w:tabs>
                <w:tab w:val="left" w:pos="9638"/>
                <w:tab w:val="left" w:pos="9720"/>
              </w:tabs>
              <w:suppressAutoHyphens/>
              <w:jc w:val="center"/>
              <w:rPr>
                <w:sz w:val="22"/>
                <w:szCs w:val="22"/>
                <w:lang w:eastAsia="lt-LT"/>
              </w:rPr>
            </w:pPr>
            <w:r>
              <w:rPr>
                <w:sz w:val="22"/>
                <w:szCs w:val="22"/>
                <w:lang w:eastAsia="lt-LT"/>
              </w:rPr>
              <w:t>Eil. Nr.</w:t>
            </w:r>
          </w:p>
        </w:tc>
        <w:tc>
          <w:tcPr>
            <w:tcW w:w="5864" w:type="dxa"/>
            <w:shd w:val="clear" w:color="auto" w:fill="auto"/>
            <w:vAlign w:val="center"/>
          </w:tcPr>
          <w:p>
            <w:pPr>
              <w:tabs>
                <w:tab w:val="left" w:pos="9638"/>
                <w:tab w:val="left" w:pos="9720"/>
              </w:tabs>
              <w:suppressAutoHyphens/>
              <w:jc w:val="center"/>
              <w:rPr>
                <w:sz w:val="22"/>
                <w:szCs w:val="22"/>
                <w:lang w:eastAsia="lt-LT"/>
              </w:rPr>
            </w:pPr>
            <w:r>
              <w:rPr>
                <w:sz w:val="22"/>
                <w:szCs w:val="22"/>
                <w:lang w:eastAsia="lt-LT"/>
              </w:rPr>
              <w:t>Veikla</w:t>
            </w:r>
          </w:p>
        </w:tc>
        <w:tc>
          <w:tcPr>
            <w:tcW w:w="2258" w:type="dxa"/>
            <w:shd w:val="clear" w:color="auto" w:fill="auto"/>
            <w:vAlign w:val="center"/>
          </w:tcPr>
          <w:p>
            <w:pPr>
              <w:tabs>
                <w:tab w:val="left" w:pos="9638"/>
                <w:tab w:val="left" w:pos="9720"/>
              </w:tabs>
              <w:suppressAutoHyphens/>
              <w:jc w:val="center"/>
              <w:rPr>
                <w:sz w:val="22"/>
                <w:szCs w:val="22"/>
                <w:lang w:eastAsia="lt-LT"/>
              </w:rPr>
            </w:pPr>
            <w:r>
              <w:rPr>
                <w:sz w:val="22"/>
                <w:szCs w:val="22"/>
                <w:lang w:eastAsia="lt-LT"/>
              </w:rPr>
              <w:t>Vykdytojas</w:t>
            </w:r>
          </w:p>
        </w:tc>
        <w:tc>
          <w:tcPr>
            <w:tcW w:w="1666" w:type="dxa"/>
            <w:shd w:val="clear" w:color="auto" w:fill="auto"/>
            <w:vAlign w:val="center"/>
          </w:tcPr>
          <w:p>
            <w:pPr>
              <w:tabs>
                <w:tab w:val="left" w:pos="9638"/>
                <w:tab w:val="left" w:pos="9720"/>
              </w:tabs>
              <w:suppressAutoHyphens/>
              <w:jc w:val="center"/>
              <w:rPr>
                <w:sz w:val="22"/>
                <w:szCs w:val="22"/>
                <w:lang w:eastAsia="lt-LT"/>
              </w:rPr>
            </w:pPr>
            <w:r>
              <w:rPr>
                <w:sz w:val="22"/>
                <w:szCs w:val="22"/>
                <w:lang w:eastAsia="lt-LT"/>
              </w:rPr>
              <w:t>Įvykdymo terminas</w:t>
            </w:r>
          </w:p>
        </w:tc>
      </w:tr>
      <w:tr>
        <w:trPr>
          <w:jc w:val="center"/>
        </w:trPr>
        <w:tc>
          <w:tcPr>
            <w:tcW w:w="556" w:type="dxa"/>
            <w:shd w:val="clear" w:color="auto" w:fill="auto"/>
          </w:tcPr>
          <w:p>
            <w:pPr>
              <w:tabs>
                <w:tab w:val="left" w:pos="9638"/>
                <w:tab w:val="left" w:pos="9720"/>
              </w:tabs>
              <w:ind w:right="-82"/>
              <w:jc w:val="center"/>
              <w:rPr>
                <w:sz w:val="22"/>
                <w:szCs w:val="22"/>
                <w:lang w:eastAsia="lt-LT"/>
              </w:rPr>
            </w:pPr>
            <w:r>
              <w:rPr>
                <w:sz w:val="22"/>
                <w:szCs w:val="22"/>
                <w:lang w:eastAsia="lt-LT"/>
              </w:rPr>
              <w:t>1.</w:t>
            </w:r>
          </w:p>
        </w:tc>
        <w:tc>
          <w:tcPr>
            <w:tcW w:w="5864" w:type="dxa"/>
            <w:shd w:val="clear" w:color="auto" w:fill="auto"/>
          </w:tcPr>
          <w:p>
            <w:pPr>
              <w:tabs>
                <w:tab w:val="left" w:pos="9638"/>
                <w:tab w:val="left" w:pos="9720"/>
              </w:tabs>
              <w:suppressAutoHyphens/>
              <w:ind w:right="-82"/>
              <w:rPr>
                <w:sz w:val="22"/>
                <w:szCs w:val="22"/>
                <w:lang w:eastAsia="lt-LT"/>
              </w:rPr>
            </w:pPr>
            <w:r>
              <w:rPr>
                <w:sz w:val="22"/>
                <w:szCs w:val="22"/>
                <w:lang w:eastAsia="lt-LT"/>
              </w:rPr>
              <w:t>Teikiama informacija Savivaldybės Švietimo paslaugų centrui arba Savivaldybės administracijos Ekonomikos ir verslo plėtros skyriui apie mokinius, kuriems reikalingas vežiojimas.</w:t>
            </w:r>
          </w:p>
        </w:tc>
        <w:tc>
          <w:tcPr>
            <w:tcW w:w="2258" w:type="dxa"/>
            <w:shd w:val="clear" w:color="auto" w:fill="auto"/>
          </w:tcPr>
          <w:p>
            <w:pPr>
              <w:tabs>
                <w:tab w:val="left" w:pos="9638"/>
                <w:tab w:val="left" w:pos="9720"/>
              </w:tabs>
              <w:suppressAutoHyphens/>
              <w:ind w:right="-82"/>
              <w:rPr>
                <w:sz w:val="22"/>
                <w:szCs w:val="22"/>
                <w:lang w:eastAsia="lt-LT"/>
              </w:rPr>
            </w:pPr>
            <w:r>
              <w:rPr>
                <w:sz w:val="22"/>
                <w:szCs w:val="22"/>
                <w:lang w:eastAsia="lt-LT"/>
              </w:rPr>
              <w:t>Mokyklų vadovai</w:t>
            </w:r>
          </w:p>
        </w:tc>
        <w:tc>
          <w:tcPr>
            <w:tcW w:w="1666" w:type="dxa"/>
            <w:shd w:val="clear" w:color="auto" w:fill="auto"/>
          </w:tcPr>
          <w:p>
            <w:pPr>
              <w:tabs>
                <w:tab w:val="left" w:pos="9638"/>
                <w:tab w:val="left" w:pos="9720"/>
              </w:tabs>
              <w:suppressAutoHyphens/>
              <w:ind w:right="-82"/>
              <w:jc w:val="both"/>
              <w:rPr>
                <w:sz w:val="22"/>
                <w:szCs w:val="22"/>
                <w:lang w:eastAsia="lt-LT"/>
              </w:rPr>
            </w:pPr>
            <w:r>
              <w:rPr>
                <w:sz w:val="22"/>
                <w:szCs w:val="22"/>
                <w:lang w:eastAsia="lt-LT"/>
              </w:rPr>
              <w:t>Vadovaujantis Aprašu</w:t>
            </w:r>
          </w:p>
        </w:tc>
      </w:tr>
      <w:tr>
        <w:trPr>
          <w:jc w:val="center"/>
        </w:trPr>
        <w:tc>
          <w:tcPr>
            <w:tcW w:w="556" w:type="dxa"/>
            <w:shd w:val="clear" w:color="auto" w:fill="auto"/>
          </w:tcPr>
          <w:p>
            <w:pPr>
              <w:tabs>
                <w:tab w:val="left" w:pos="9638"/>
                <w:tab w:val="left" w:pos="9720"/>
              </w:tabs>
              <w:ind w:right="-82"/>
              <w:jc w:val="center"/>
              <w:rPr>
                <w:sz w:val="22"/>
                <w:szCs w:val="22"/>
                <w:lang w:eastAsia="lt-LT"/>
              </w:rPr>
            </w:pPr>
            <w:r>
              <w:rPr>
                <w:sz w:val="22"/>
                <w:szCs w:val="22"/>
                <w:lang w:eastAsia="lt-LT"/>
              </w:rPr>
              <w:t>2.</w:t>
            </w:r>
          </w:p>
        </w:tc>
        <w:tc>
          <w:tcPr>
            <w:tcW w:w="5864" w:type="dxa"/>
            <w:shd w:val="clear" w:color="auto" w:fill="auto"/>
          </w:tcPr>
          <w:p>
            <w:pPr>
              <w:tabs>
                <w:tab w:val="left" w:pos="9638"/>
                <w:tab w:val="left" w:pos="9720"/>
              </w:tabs>
              <w:suppressAutoHyphens/>
              <w:ind w:right="-82"/>
              <w:rPr>
                <w:sz w:val="22"/>
                <w:szCs w:val="22"/>
                <w:lang w:eastAsia="lt-LT"/>
              </w:rPr>
            </w:pPr>
            <w:r>
              <w:rPr>
                <w:sz w:val="22"/>
                <w:szCs w:val="22"/>
                <w:lang w:eastAsia="lt-LT"/>
              </w:rPr>
              <w:t>Mokinių vežiojimo problemos sprendžiamos su Savivaldybės Švietimo paslaugų centru ir Savivaldybės administracijos Ekonomikos ir verslo plėtros skyriumi.</w:t>
            </w:r>
          </w:p>
        </w:tc>
        <w:tc>
          <w:tcPr>
            <w:tcW w:w="2258" w:type="dxa"/>
            <w:shd w:val="clear" w:color="auto" w:fill="auto"/>
          </w:tcPr>
          <w:p>
            <w:pPr>
              <w:tabs>
                <w:tab w:val="left" w:pos="9638"/>
                <w:tab w:val="left" w:pos="9720"/>
              </w:tabs>
              <w:suppressAutoHyphens/>
              <w:ind w:right="-82"/>
              <w:rPr>
                <w:sz w:val="22"/>
                <w:szCs w:val="22"/>
                <w:lang w:eastAsia="lt-LT"/>
              </w:rPr>
            </w:pPr>
            <w:r>
              <w:rPr>
                <w:sz w:val="22"/>
                <w:szCs w:val="22"/>
                <w:lang w:eastAsia="lt-LT"/>
              </w:rPr>
              <w:t>Mokyklų vadovai</w:t>
            </w:r>
          </w:p>
        </w:tc>
        <w:tc>
          <w:tcPr>
            <w:tcW w:w="1666" w:type="dxa"/>
            <w:shd w:val="clear" w:color="auto" w:fill="auto"/>
          </w:tcPr>
          <w:p>
            <w:pPr>
              <w:tabs>
                <w:tab w:val="left" w:pos="9638"/>
                <w:tab w:val="left" w:pos="9720"/>
              </w:tabs>
              <w:suppressAutoHyphens/>
              <w:ind w:right="-82"/>
              <w:rPr>
                <w:sz w:val="22"/>
                <w:szCs w:val="22"/>
                <w:lang w:eastAsia="lt-LT"/>
              </w:rPr>
            </w:pPr>
            <w:r>
              <w:rPr>
                <w:sz w:val="22"/>
                <w:szCs w:val="22"/>
                <w:lang w:eastAsia="lt-LT"/>
              </w:rPr>
              <w:t xml:space="preserve">Kiekvienais mokslo metais </w:t>
            </w:r>
          </w:p>
        </w:tc>
      </w:tr>
      <w:tr>
        <w:trPr>
          <w:jc w:val="center"/>
        </w:trPr>
        <w:tc>
          <w:tcPr>
            <w:tcW w:w="556" w:type="dxa"/>
            <w:shd w:val="clear" w:color="auto" w:fill="auto"/>
          </w:tcPr>
          <w:p>
            <w:pPr>
              <w:tabs>
                <w:tab w:val="left" w:pos="9638"/>
                <w:tab w:val="left" w:pos="9720"/>
              </w:tabs>
              <w:ind w:right="-82"/>
              <w:jc w:val="center"/>
              <w:rPr>
                <w:sz w:val="22"/>
                <w:szCs w:val="22"/>
                <w:lang w:eastAsia="lt-LT"/>
              </w:rPr>
            </w:pPr>
            <w:r>
              <w:rPr>
                <w:sz w:val="22"/>
                <w:szCs w:val="22"/>
                <w:lang w:eastAsia="lt-LT"/>
              </w:rPr>
              <w:t>3.</w:t>
            </w:r>
          </w:p>
        </w:tc>
        <w:tc>
          <w:tcPr>
            <w:tcW w:w="5864" w:type="dxa"/>
            <w:shd w:val="clear" w:color="auto" w:fill="auto"/>
          </w:tcPr>
          <w:p>
            <w:pPr>
              <w:tabs>
                <w:tab w:val="left" w:pos="9638"/>
                <w:tab w:val="left" w:pos="9720"/>
              </w:tabs>
              <w:suppressAutoHyphens/>
              <w:ind w:right="-82"/>
              <w:rPr>
                <w:sz w:val="22"/>
                <w:szCs w:val="22"/>
                <w:lang w:eastAsia="lt-LT"/>
              </w:rPr>
            </w:pPr>
            <w:r>
              <w:rPr>
                <w:sz w:val="22"/>
                <w:szCs w:val="22"/>
                <w:lang w:eastAsia="lt-LT"/>
              </w:rPr>
              <w:t>Mokyklų interneto svetainėse skelbiama informacija apie mokinių vežiojimą (maršrutas, tvarkaraščiai, kt.).</w:t>
            </w:r>
          </w:p>
        </w:tc>
        <w:tc>
          <w:tcPr>
            <w:tcW w:w="2258" w:type="dxa"/>
            <w:shd w:val="clear" w:color="auto" w:fill="auto"/>
          </w:tcPr>
          <w:p>
            <w:pPr>
              <w:tabs>
                <w:tab w:val="left" w:pos="9638"/>
                <w:tab w:val="left" w:pos="9720"/>
              </w:tabs>
              <w:suppressAutoHyphens/>
              <w:ind w:right="-82"/>
              <w:rPr>
                <w:sz w:val="22"/>
                <w:szCs w:val="22"/>
                <w:lang w:eastAsia="lt-LT"/>
              </w:rPr>
            </w:pPr>
            <w:r>
              <w:rPr>
                <w:sz w:val="22"/>
                <w:szCs w:val="22"/>
                <w:lang w:eastAsia="lt-LT"/>
              </w:rPr>
              <w:t>Mokyklų vadovai</w:t>
            </w:r>
          </w:p>
        </w:tc>
        <w:tc>
          <w:tcPr>
            <w:tcW w:w="1666" w:type="dxa"/>
            <w:shd w:val="clear" w:color="auto" w:fill="auto"/>
          </w:tcPr>
          <w:p>
            <w:pPr>
              <w:tabs>
                <w:tab w:val="left" w:pos="9638"/>
                <w:tab w:val="left" w:pos="9720"/>
              </w:tabs>
              <w:suppressAutoHyphens/>
              <w:ind w:right="-82"/>
              <w:rPr>
                <w:sz w:val="22"/>
                <w:szCs w:val="22"/>
                <w:lang w:eastAsia="lt-LT"/>
              </w:rPr>
            </w:pPr>
            <w:r>
              <w:rPr>
                <w:sz w:val="22"/>
                <w:szCs w:val="22"/>
                <w:lang w:eastAsia="lt-LT"/>
              </w:rPr>
              <w:t>Kasmet iki rugsėjo 1 d.</w:t>
            </w:r>
          </w:p>
        </w:tc>
      </w:tr>
      <w:tr>
        <w:trPr>
          <w:jc w:val="center"/>
        </w:trPr>
        <w:tc>
          <w:tcPr>
            <w:tcW w:w="556" w:type="dxa"/>
            <w:shd w:val="clear" w:color="auto" w:fill="auto"/>
          </w:tcPr>
          <w:p>
            <w:pPr>
              <w:tabs>
                <w:tab w:val="left" w:pos="9638"/>
                <w:tab w:val="left" w:pos="9720"/>
              </w:tabs>
              <w:ind w:right="-82"/>
              <w:jc w:val="center"/>
              <w:rPr>
                <w:sz w:val="22"/>
                <w:szCs w:val="22"/>
                <w:lang w:eastAsia="lt-LT"/>
              </w:rPr>
            </w:pPr>
            <w:r>
              <w:rPr>
                <w:sz w:val="22"/>
                <w:szCs w:val="22"/>
                <w:lang w:eastAsia="lt-LT"/>
              </w:rPr>
              <w:t>4.</w:t>
            </w:r>
          </w:p>
        </w:tc>
        <w:tc>
          <w:tcPr>
            <w:tcW w:w="5864" w:type="dxa"/>
            <w:shd w:val="clear" w:color="auto" w:fill="auto"/>
          </w:tcPr>
          <w:p>
            <w:pPr>
              <w:tabs>
                <w:tab w:val="left" w:pos="9638"/>
                <w:tab w:val="left" w:pos="9720"/>
              </w:tabs>
              <w:suppressAutoHyphens/>
              <w:ind w:right="-82"/>
              <w:rPr>
                <w:sz w:val="22"/>
                <w:szCs w:val="22"/>
                <w:lang w:eastAsia="lt-LT"/>
              </w:rPr>
            </w:pPr>
            <w:r>
              <w:rPr>
                <w:sz w:val="22"/>
                <w:szCs w:val="22"/>
                <w:lang w:eastAsia="lt-LT"/>
              </w:rPr>
              <w:t xml:space="preserve">Mokyklinių (geltonųjų) autobusų grafikai koreguojami atsižvelgiant į pamokų pradžią ir pabaigą. </w:t>
            </w:r>
          </w:p>
        </w:tc>
        <w:tc>
          <w:tcPr>
            <w:tcW w:w="2258" w:type="dxa"/>
            <w:shd w:val="clear" w:color="auto" w:fill="auto"/>
          </w:tcPr>
          <w:p>
            <w:pPr>
              <w:tabs>
                <w:tab w:val="left" w:pos="9638"/>
                <w:tab w:val="left" w:pos="9720"/>
              </w:tabs>
              <w:suppressAutoHyphens/>
              <w:ind w:right="-82"/>
              <w:rPr>
                <w:sz w:val="22"/>
                <w:szCs w:val="22"/>
                <w:lang w:eastAsia="lt-LT"/>
              </w:rPr>
            </w:pPr>
            <w:r>
              <w:rPr>
                <w:sz w:val="22"/>
                <w:szCs w:val="22"/>
                <w:lang w:eastAsia="lt-LT"/>
              </w:rPr>
              <w:t>Mokyklų vadovai</w:t>
            </w:r>
          </w:p>
        </w:tc>
        <w:tc>
          <w:tcPr>
            <w:tcW w:w="1666" w:type="dxa"/>
            <w:shd w:val="clear" w:color="auto" w:fill="auto"/>
          </w:tcPr>
          <w:p>
            <w:pPr>
              <w:tabs>
                <w:tab w:val="left" w:pos="9638"/>
                <w:tab w:val="left" w:pos="9720"/>
              </w:tabs>
              <w:suppressAutoHyphens/>
              <w:ind w:right="-82"/>
              <w:rPr>
                <w:sz w:val="22"/>
                <w:szCs w:val="22"/>
                <w:lang w:eastAsia="lt-LT"/>
              </w:rPr>
            </w:pPr>
            <w:r>
              <w:rPr>
                <w:sz w:val="22"/>
                <w:szCs w:val="22"/>
                <w:lang w:eastAsia="lt-LT"/>
              </w:rPr>
              <w:t>Kiekvienais mokslo metais pagal aplinkybes</w:t>
            </w:r>
          </w:p>
        </w:tc>
      </w:tr>
      <w:tr>
        <w:trPr>
          <w:jc w:val="center"/>
        </w:trPr>
        <w:tc>
          <w:tcPr>
            <w:tcW w:w="556" w:type="dxa"/>
            <w:shd w:val="clear" w:color="auto" w:fill="auto"/>
          </w:tcPr>
          <w:p>
            <w:pPr>
              <w:tabs>
                <w:tab w:val="left" w:pos="9638"/>
                <w:tab w:val="left" w:pos="9720"/>
              </w:tabs>
              <w:ind w:right="-82"/>
              <w:jc w:val="center"/>
              <w:rPr>
                <w:sz w:val="22"/>
                <w:szCs w:val="22"/>
                <w:lang w:eastAsia="lt-LT"/>
              </w:rPr>
            </w:pPr>
            <w:r>
              <w:rPr>
                <w:sz w:val="22"/>
                <w:szCs w:val="22"/>
                <w:lang w:eastAsia="lt-LT"/>
              </w:rPr>
              <w:t>5.</w:t>
            </w:r>
          </w:p>
        </w:tc>
        <w:tc>
          <w:tcPr>
            <w:tcW w:w="5864" w:type="dxa"/>
            <w:shd w:val="clear" w:color="auto" w:fill="auto"/>
          </w:tcPr>
          <w:p>
            <w:pPr>
              <w:tabs>
                <w:tab w:val="left" w:pos="993"/>
              </w:tabs>
              <w:suppressAutoHyphens/>
              <w:ind w:firstLine="57"/>
              <w:rPr>
                <w:sz w:val="22"/>
                <w:szCs w:val="22"/>
                <w:lang w:eastAsia="ar-SA"/>
              </w:rPr>
            </w:pPr>
            <w:r>
              <w:rPr>
                <w:sz w:val="22"/>
                <w:szCs w:val="22"/>
                <w:lang w:eastAsia="ar-SA"/>
              </w:rPr>
              <w:t xml:space="preserve">Sukomplektavus klases ir įvertinus mokinių srautus derinama galimybė sutankinti atitinkamų viešojo transporto maršrutų grafikus (prieš pamokas ir po pamokų). </w:t>
            </w:r>
          </w:p>
        </w:tc>
        <w:tc>
          <w:tcPr>
            <w:tcW w:w="2258" w:type="dxa"/>
            <w:shd w:val="clear" w:color="auto" w:fill="auto"/>
          </w:tcPr>
          <w:p>
            <w:pPr>
              <w:tabs>
                <w:tab w:val="left" w:pos="9638"/>
                <w:tab w:val="left" w:pos="9720"/>
              </w:tabs>
              <w:suppressAutoHyphens/>
              <w:ind w:right="-82"/>
              <w:rPr>
                <w:sz w:val="22"/>
                <w:szCs w:val="22"/>
                <w:lang w:eastAsia="lt-LT"/>
              </w:rPr>
            </w:pPr>
            <w:r>
              <w:rPr>
                <w:sz w:val="22"/>
                <w:szCs w:val="22"/>
                <w:lang w:eastAsia="lt-LT"/>
              </w:rPr>
              <w:t>Savivaldybės administracijos Ekonomikos ir verslo plėtros skyrius, Švietimo paslaugų centras</w:t>
            </w:r>
          </w:p>
        </w:tc>
        <w:tc>
          <w:tcPr>
            <w:tcW w:w="1666" w:type="dxa"/>
            <w:shd w:val="clear" w:color="auto" w:fill="auto"/>
          </w:tcPr>
          <w:p>
            <w:pPr>
              <w:tabs>
                <w:tab w:val="left" w:pos="9638"/>
                <w:tab w:val="left" w:pos="9720"/>
              </w:tabs>
              <w:suppressAutoHyphens/>
              <w:ind w:right="-82"/>
              <w:rPr>
                <w:sz w:val="22"/>
                <w:szCs w:val="22"/>
                <w:lang w:eastAsia="lt-LT"/>
              </w:rPr>
            </w:pPr>
            <w:r>
              <w:rPr>
                <w:sz w:val="22"/>
                <w:szCs w:val="22"/>
                <w:lang w:eastAsia="lt-LT"/>
              </w:rPr>
              <w:t>Kiekvienais mokslo metais pagal aplinkybes</w:t>
            </w:r>
          </w:p>
        </w:tc>
      </w:tr>
      <w:tr>
        <w:trPr>
          <w:jc w:val="center"/>
        </w:trPr>
        <w:tc>
          <w:tcPr>
            <w:tcW w:w="556" w:type="dxa"/>
            <w:shd w:val="clear" w:color="auto" w:fill="auto"/>
          </w:tcPr>
          <w:p>
            <w:pPr>
              <w:tabs>
                <w:tab w:val="left" w:pos="9638"/>
                <w:tab w:val="left" w:pos="9720"/>
              </w:tabs>
              <w:ind w:right="-82"/>
              <w:jc w:val="center"/>
              <w:rPr>
                <w:sz w:val="22"/>
                <w:szCs w:val="22"/>
                <w:lang w:eastAsia="lt-LT"/>
              </w:rPr>
            </w:pPr>
            <w:r>
              <w:rPr>
                <w:sz w:val="22"/>
                <w:szCs w:val="22"/>
                <w:lang w:eastAsia="lt-LT"/>
              </w:rPr>
              <w:t>6.</w:t>
            </w:r>
          </w:p>
        </w:tc>
        <w:tc>
          <w:tcPr>
            <w:tcW w:w="5864" w:type="dxa"/>
            <w:shd w:val="clear" w:color="auto" w:fill="auto"/>
          </w:tcPr>
          <w:p>
            <w:pPr>
              <w:tabs>
                <w:tab w:val="left" w:pos="9638"/>
                <w:tab w:val="left" w:pos="9720"/>
              </w:tabs>
              <w:suppressAutoHyphens/>
              <w:ind w:right="-82"/>
              <w:rPr>
                <w:sz w:val="22"/>
                <w:szCs w:val="22"/>
                <w:lang w:eastAsia="lt-LT"/>
              </w:rPr>
            </w:pPr>
            <w:r>
              <w:rPr>
                <w:sz w:val="22"/>
                <w:szCs w:val="22"/>
                <w:lang w:eastAsia="lt-LT"/>
              </w:rPr>
              <w:t>Vykdomas nuolatinis mokyklinių (geltonųjų) autobusų poreikio monitoringas.</w:t>
            </w:r>
          </w:p>
        </w:tc>
        <w:tc>
          <w:tcPr>
            <w:tcW w:w="2258" w:type="dxa"/>
            <w:shd w:val="clear" w:color="auto" w:fill="auto"/>
          </w:tcPr>
          <w:p>
            <w:pPr>
              <w:tabs>
                <w:tab w:val="left" w:pos="9638"/>
                <w:tab w:val="left" w:pos="9720"/>
              </w:tabs>
              <w:suppressAutoHyphens/>
              <w:ind w:right="-82"/>
              <w:rPr>
                <w:sz w:val="22"/>
                <w:szCs w:val="22"/>
                <w:lang w:eastAsia="lt-LT"/>
              </w:rPr>
            </w:pPr>
            <w:r>
              <w:rPr>
                <w:sz w:val="22"/>
                <w:szCs w:val="22"/>
                <w:lang w:eastAsia="lt-LT"/>
              </w:rPr>
              <w:t>Savivaldybės administracijos Švietimo ir sporto skyrius</w:t>
            </w:r>
          </w:p>
        </w:tc>
        <w:tc>
          <w:tcPr>
            <w:tcW w:w="1666" w:type="dxa"/>
            <w:shd w:val="clear" w:color="auto" w:fill="auto"/>
          </w:tcPr>
          <w:p>
            <w:pPr>
              <w:tabs>
                <w:tab w:val="left" w:pos="9638"/>
                <w:tab w:val="left" w:pos="9720"/>
              </w:tabs>
              <w:suppressAutoHyphens/>
              <w:ind w:right="-82"/>
              <w:rPr>
                <w:sz w:val="22"/>
                <w:szCs w:val="22"/>
                <w:lang w:eastAsia="lt-LT"/>
              </w:rPr>
            </w:pPr>
            <w:r>
              <w:rPr>
                <w:sz w:val="22"/>
                <w:szCs w:val="22"/>
                <w:lang w:eastAsia="lt-LT"/>
              </w:rPr>
              <w:t>Nuolat</w:t>
            </w:r>
          </w:p>
        </w:tc>
      </w:tr>
      <w:tr>
        <w:trPr>
          <w:jc w:val="center"/>
        </w:trPr>
        <w:tc>
          <w:tcPr>
            <w:tcW w:w="556" w:type="dxa"/>
            <w:shd w:val="clear" w:color="auto" w:fill="auto"/>
          </w:tcPr>
          <w:p>
            <w:pPr>
              <w:tabs>
                <w:tab w:val="left" w:pos="9638"/>
                <w:tab w:val="left" w:pos="9720"/>
              </w:tabs>
              <w:ind w:right="-82"/>
              <w:jc w:val="center"/>
              <w:rPr>
                <w:sz w:val="22"/>
                <w:szCs w:val="22"/>
                <w:lang w:eastAsia="lt-LT"/>
              </w:rPr>
            </w:pPr>
            <w:r>
              <w:rPr>
                <w:sz w:val="22"/>
                <w:szCs w:val="22"/>
                <w:lang w:eastAsia="lt-LT"/>
              </w:rPr>
              <w:t>7.</w:t>
            </w:r>
          </w:p>
        </w:tc>
        <w:tc>
          <w:tcPr>
            <w:tcW w:w="5864" w:type="dxa"/>
            <w:shd w:val="clear" w:color="auto" w:fill="auto"/>
          </w:tcPr>
          <w:p>
            <w:pPr>
              <w:tabs>
                <w:tab w:val="left" w:pos="9638"/>
                <w:tab w:val="left" w:pos="9720"/>
              </w:tabs>
              <w:suppressAutoHyphens/>
              <w:ind w:right="-82"/>
              <w:rPr>
                <w:sz w:val="22"/>
                <w:szCs w:val="22"/>
                <w:lang w:eastAsia="lt-LT"/>
              </w:rPr>
            </w:pPr>
            <w:r>
              <w:rPr>
                <w:sz w:val="22"/>
                <w:szCs w:val="22"/>
                <w:lang w:eastAsia="lt-LT"/>
              </w:rPr>
              <w:t>Teikiamos paraiškos dėl mokyklinių (geltonųjų) autobusų gavimo.</w:t>
            </w:r>
          </w:p>
        </w:tc>
        <w:tc>
          <w:tcPr>
            <w:tcW w:w="2258" w:type="dxa"/>
            <w:shd w:val="clear" w:color="auto" w:fill="auto"/>
          </w:tcPr>
          <w:p>
            <w:pPr>
              <w:tabs>
                <w:tab w:val="left" w:pos="9638"/>
                <w:tab w:val="left" w:pos="9720"/>
              </w:tabs>
              <w:suppressAutoHyphens/>
              <w:ind w:right="-82"/>
              <w:rPr>
                <w:sz w:val="22"/>
                <w:szCs w:val="22"/>
                <w:lang w:eastAsia="lt-LT"/>
              </w:rPr>
            </w:pPr>
            <w:r>
              <w:rPr>
                <w:sz w:val="22"/>
                <w:szCs w:val="22"/>
                <w:lang w:eastAsia="lt-LT"/>
              </w:rPr>
              <w:t>Savivaldybės administracijos Švietimo ir sporto skyrius</w:t>
            </w:r>
          </w:p>
        </w:tc>
        <w:tc>
          <w:tcPr>
            <w:tcW w:w="1666" w:type="dxa"/>
            <w:shd w:val="clear" w:color="auto" w:fill="auto"/>
          </w:tcPr>
          <w:p>
            <w:pPr>
              <w:tabs>
                <w:tab w:val="left" w:pos="9638"/>
                <w:tab w:val="left" w:pos="9720"/>
              </w:tabs>
              <w:suppressAutoHyphens/>
              <w:ind w:right="-82"/>
              <w:rPr>
                <w:sz w:val="22"/>
                <w:szCs w:val="22"/>
                <w:lang w:eastAsia="lt-LT"/>
              </w:rPr>
            </w:pPr>
            <w:r>
              <w:rPr>
                <w:sz w:val="22"/>
                <w:szCs w:val="22"/>
                <w:lang w:eastAsia="lt-LT"/>
              </w:rPr>
              <w:t>Kasmet iki LR švietimo ir mokslo ministerijos nustatyto termino</w:t>
            </w:r>
          </w:p>
        </w:tc>
      </w:tr>
      <w:tr>
        <w:trPr>
          <w:jc w:val="center"/>
        </w:trPr>
        <w:tc>
          <w:tcPr>
            <w:tcW w:w="556" w:type="dxa"/>
            <w:shd w:val="clear" w:color="auto" w:fill="auto"/>
          </w:tcPr>
          <w:p>
            <w:pPr>
              <w:tabs>
                <w:tab w:val="left" w:pos="9638"/>
                <w:tab w:val="left" w:pos="9720"/>
              </w:tabs>
              <w:ind w:right="-82"/>
              <w:jc w:val="center"/>
              <w:rPr>
                <w:sz w:val="22"/>
                <w:szCs w:val="22"/>
                <w:lang w:eastAsia="lt-LT"/>
              </w:rPr>
            </w:pPr>
            <w:r>
              <w:rPr>
                <w:sz w:val="22"/>
                <w:szCs w:val="22"/>
                <w:lang w:eastAsia="lt-LT"/>
              </w:rPr>
              <w:t>8.</w:t>
            </w:r>
          </w:p>
        </w:tc>
        <w:tc>
          <w:tcPr>
            <w:tcW w:w="5864" w:type="dxa"/>
            <w:shd w:val="clear" w:color="auto" w:fill="auto"/>
          </w:tcPr>
          <w:p>
            <w:pPr>
              <w:tabs>
                <w:tab w:val="left" w:pos="9638"/>
                <w:tab w:val="left" w:pos="9720"/>
              </w:tabs>
              <w:suppressAutoHyphens/>
              <w:ind w:right="-82"/>
              <w:rPr>
                <w:sz w:val="22"/>
                <w:szCs w:val="22"/>
                <w:lang w:eastAsia="lt-LT"/>
              </w:rPr>
            </w:pPr>
            <w:r>
              <w:rPr>
                <w:sz w:val="22"/>
                <w:szCs w:val="22"/>
                <w:lang w:eastAsia="lt-LT"/>
              </w:rPr>
              <w:t>Prižiūrima mokyklinių (geltonųjų) autobusų techninė būklė.</w:t>
            </w:r>
          </w:p>
        </w:tc>
        <w:tc>
          <w:tcPr>
            <w:tcW w:w="2258" w:type="dxa"/>
            <w:shd w:val="clear" w:color="auto" w:fill="auto"/>
          </w:tcPr>
          <w:p>
            <w:pPr>
              <w:tabs>
                <w:tab w:val="left" w:pos="9638"/>
                <w:tab w:val="left" w:pos="9720"/>
              </w:tabs>
              <w:suppressAutoHyphens/>
              <w:ind w:right="-82"/>
              <w:rPr>
                <w:sz w:val="22"/>
                <w:szCs w:val="22"/>
                <w:lang w:eastAsia="lt-LT"/>
              </w:rPr>
            </w:pPr>
            <w:r>
              <w:rPr>
                <w:sz w:val="22"/>
                <w:szCs w:val="22"/>
                <w:lang w:eastAsia="lt-LT"/>
              </w:rPr>
              <w:t>Mokyklų vadovai</w:t>
            </w:r>
          </w:p>
        </w:tc>
        <w:tc>
          <w:tcPr>
            <w:tcW w:w="1666" w:type="dxa"/>
            <w:shd w:val="clear" w:color="auto" w:fill="auto"/>
          </w:tcPr>
          <w:p>
            <w:pPr>
              <w:tabs>
                <w:tab w:val="left" w:pos="9638"/>
                <w:tab w:val="left" w:pos="9720"/>
              </w:tabs>
              <w:suppressAutoHyphens/>
              <w:ind w:right="-82"/>
              <w:rPr>
                <w:sz w:val="22"/>
                <w:szCs w:val="22"/>
                <w:lang w:eastAsia="lt-LT"/>
              </w:rPr>
            </w:pPr>
            <w:r>
              <w:rPr>
                <w:sz w:val="22"/>
                <w:szCs w:val="22"/>
                <w:lang w:eastAsia="lt-LT"/>
              </w:rPr>
              <w:t>Nuolat</w:t>
            </w:r>
          </w:p>
        </w:tc>
      </w:tr>
    </w:tbl>
    <w:p>
      <w:pPr>
        <w:suppressAutoHyphens/>
        <w:ind w:firstLine="2160"/>
        <w:jc w:val="center"/>
        <w:rPr>
          <w:szCs w:val="24"/>
          <w:u w:val="single"/>
          <w:lang w:eastAsia="ar-SA"/>
        </w:rPr>
      </w:pPr>
    </w:p>
    <w:sectPr>
      <w:headerReference w:type="even" r:id="rId7"/>
      <w:headerReference w:type="default" r:id="rId8"/>
      <w:footerReference w:type="even" r:id="rId9"/>
      <w:footerReference w:type="default" r:id="rId10"/>
      <w:headerReference w:type="first" r:id="rId11"/>
      <w:footerReference w:type="first" r:id="rId12"/>
      <w:pgSz w:w="12240" w:h="15840"/>
      <w:pgMar w:top="851" w:right="567" w:bottom="1134" w:left="1701" w:header="709" w:footer="709" w:gutter="0"/>
      <w:pgNumType w:start="1"/>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uppressAutoHyphens/>
        <w:rPr>
          <w:sz w:val="20"/>
          <w:lang w:val="en-AU" w:eastAsia="ar-SA"/>
        </w:rPr>
      </w:pPr>
      <w:r>
        <w:rPr>
          <w:sz w:val="20"/>
          <w:lang w:val="en-AU" w:eastAsia="ar-SA"/>
        </w:rPr>
        <w:separator/>
      </w:r>
    </w:p>
  </w:endnote>
  <w:endnote w:type="continuationSeparator" w:id="0">
    <w:p>
      <w:pPr>
        <w:suppressAutoHyphens/>
        <w:rPr>
          <w:sz w:val="20"/>
          <w:lang w:val="en-AU" w:eastAsia="ar-SA"/>
        </w:rPr>
      </w:pPr>
      <w:r>
        <w:rPr>
          <w:sz w:val="20"/>
          <w:lang w:val="en-AU" w:eastAsia="ar-SA"/>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uppressAutoHyphens/>
      <w:rPr>
        <w:sz w:val="20"/>
        <w:lang w:val="en-AU" w:eastAsia="ar-SA"/>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uppressAutoHyphens/>
      <w:rPr>
        <w:sz w:val="20"/>
        <w:lang w:val="en-AU" w:eastAsia="ar-SA"/>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uppressAutoHyphens/>
      <w:rPr>
        <w:sz w:val="20"/>
        <w:lang w:val="en-AU" w:eastAsia="ar-SA"/>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uppressAutoHyphens/>
        <w:rPr>
          <w:sz w:val="20"/>
          <w:lang w:val="en-AU" w:eastAsia="ar-SA"/>
        </w:rPr>
      </w:pPr>
      <w:r>
        <w:rPr>
          <w:sz w:val="20"/>
          <w:lang w:val="en-AU" w:eastAsia="ar-SA"/>
        </w:rPr>
        <w:separator/>
      </w:r>
    </w:p>
  </w:footnote>
  <w:footnote w:type="continuationSeparator" w:id="0">
    <w:p>
      <w:pPr>
        <w:suppressAutoHyphens/>
        <w:rPr>
          <w:sz w:val="20"/>
          <w:lang w:val="en-AU" w:eastAsia="ar-SA"/>
        </w:rPr>
      </w:pPr>
      <w:r>
        <w:rPr>
          <w:sz w:val="20"/>
          <w:lang w:val="en-AU" w:eastAsia="ar-SA"/>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uppressAutoHyphens/>
      <w:rPr>
        <w:sz w:val="20"/>
        <w:lang w:val="en-AU" w:eastAsia="ar-SA"/>
      </w:rPr>
    </w:pPr>
    <w:r>
      <w:rPr>
        <w:sz w:val="20"/>
        <w:lang w:val="en-AU" w:eastAsia="ar-SA"/>
      </w:rPr>
      <w:fldChar w:fldCharType="begin"/>
    </w:r>
    <w:r>
      <w:rPr>
        <w:sz w:val="20"/>
        <w:lang w:val="en-AU" w:eastAsia="ar-SA"/>
      </w:rPr>
      <w:instrText xml:space="preserve">PAGE  </w:instrText>
    </w:r>
    <w:r>
      <w:rPr>
        <w:sz w:val="20"/>
        <w:lang w:val="en-AU" w:eastAsia="ar-SA"/>
      </w:rPr>
      <w:fldChar w:fldCharType="end"/>
    </w:r>
  </w:p>
  <w:p>
    <w:pPr>
      <w:tabs>
        <w:tab w:val="center" w:pos="4320"/>
        <w:tab w:val="right" w:pos="8640"/>
      </w:tabs>
      <w:suppressAutoHyphens/>
      <w:rPr>
        <w:sz w:val="20"/>
        <w:lang w:val="en-AU" w:eastAsia="ar-SA"/>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uppressAutoHyphens/>
      <w:rPr>
        <w:sz w:val="20"/>
        <w:lang w:val="en-AU" w:eastAsia="ar-SA"/>
      </w:rPr>
    </w:pPr>
    <w:r>
      <w:rPr>
        <w:szCs w:val="24"/>
        <w:lang w:val="en-AU" w:eastAsia="ar-SA"/>
      </w:rPr>
      <w:fldChar w:fldCharType="begin"/>
    </w:r>
    <w:r>
      <w:rPr>
        <w:szCs w:val="24"/>
        <w:lang w:val="en-AU" w:eastAsia="ar-SA"/>
      </w:rPr>
      <w:instrText xml:space="preserve">PAGE  </w:instrText>
    </w:r>
    <w:r>
      <w:rPr>
        <w:szCs w:val="24"/>
        <w:lang w:val="en-AU" w:eastAsia="ar-SA"/>
      </w:rPr>
      <w:fldChar w:fldCharType="separate"/>
    </w:r>
    <w:r>
      <w:rPr>
        <w:szCs w:val="24"/>
        <w:lang w:val="en-AU" w:eastAsia="ar-SA"/>
      </w:rPr>
      <w:t>2</w:t>
    </w:r>
    <w:r>
      <w:rPr>
        <w:szCs w:val="24"/>
        <w:lang w:val="en-AU" w:eastAsia="ar-SA"/>
      </w:rPr>
      <w:fldChar w:fldCharType="end"/>
    </w:r>
  </w:p>
  <w:p>
    <w:pPr>
      <w:tabs>
        <w:tab w:val="center" w:pos="4320"/>
        <w:tab w:val="right" w:pos="8640"/>
      </w:tabs>
      <w:suppressAutoHyphens/>
      <w:rPr>
        <w:szCs w:val="24"/>
        <w:lang w:val="en-AU" w:eastAsia="ar-SA"/>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uppressAutoHyphens/>
      <w:rPr>
        <w:sz w:val="20"/>
        <w:lang w:val="en-AU" w:eastAsia="ar-SA"/>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406466263">
      <w:bodyDiv w:val="1"/>
      <w:marLeft w:val="0"/>
      <w:marRight w:val="0"/>
      <w:marTop w:val="0"/>
      <w:marBottom w:val="0"/>
      <w:divBdr>
        <w:top w:val="none" w:sz="0" w:space="0" w:color="auto"/>
        <w:left w:val="none" w:sz="0" w:space="0" w:color="auto"/>
        <w:bottom w:val="none" w:sz="0" w:space="0" w:color="auto"/>
        <w:right w:val="none" w:sz="0" w:space="0" w:color="auto"/>
      </w:divBdr>
    </w:div>
    <w:div w:id="423107961">
      <w:bodyDiv w:val="1"/>
      <w:marLeft w:val="0"/>
      <w:marRight w:val="0"/>
      <w:marTop w:val="0"/>
      <w:marBottom w:val="0"/>
      <w:divBdr>
        <w:top w:val="none" w:sz="0" w:space="0" w:color="auto"/>
        <w:left w:val="none" w:sz="0" w:space="0" w:color="auto"/>
        <w:bottom w:val="none" w:sz="0" w:space="0" w:color="auto"/>
        <w:right w:val="none" w:sz="0" w:space="0" w:color="auto"/>
      </w:divBdr>
    </w:div>
    <w:div w:id="687802811">
      <w:bodyDiv w:val="1"/>
      <w:marLeft w:val="0"/>
      <w:marRight w:val="0"/>
      <w:marTop w:val="0"/>
      <w:marBottom w:val="0"/>
      <w:divBdr>
        <w:top w:val="none" w:sz="0" w:space="0" w:color="auto"/>
        <w:left w:val="none" w:sz="0" w:space="0" w:color="auto"/>
        <w:bottom w:val="none" w:sz="0" w:space="0" w:color="auto"/>
        <w:right w:val="none" w:sz="0" w:space="0" w:color="auto"/>
      </w:divBdr>
    </w:div>
    <w:div w:id="2087531339">
      <w:bodyDiv w:val="1"/>
      <w:marLeft w:val="0"/>
      <w:marRight w:val="0"/>
      <w:marTop w:val="0"/>
      <w:marBottom w:val="0"/>
      <w:divBdr>
        <w:top w:val="none" w:sz="0" w:space="0" w:color="auto"/>
        <w:left w:val="none" w:sz="0" w:space="0" w:color="auto"/>
        <w:bottom w:val="none" w:sz="0" w:space="0" w:color="auto"/>
        <w:right w:val="none" w:sz="0" w:space="0" w:color="auto"/>
      </w:divBdr>
      <w:divsChild>
        <w:div w:id="1708659">
          <w:marLeft w:val="0"/>
          <w:marRight w:val="0"/>
          <w:marTop w:val="0"/>
          <w:marBottom w:val="0"/>
          <w:divBdr>
            <w:top w:val="none" w:sz="0" w:space="0" w:color="auto"/>
            <w:left w:val="none" w:sz="0" w:space="0" w:color="auto"/>
            <w:bottom w:val="none" w:sz="0" w:space="0" w:color="auto"/>
            <w:right w:val="none" w:sz="0" w:space="0" w:color="auto"/>
          </w:divBdr>
        </w:div>
        <w:div w:id="77793916">
          <w:marLeft w:val="0"/>
          <w:marRight w:val="0"/>
          <w:marTop w:val="0"/>
          <w:marBottom w:val="0"/>
          <w:divBdr>
            <w:top w:val="none" w:sz="0" w:space="0" w:color="auto"/>
            <w:left w:val="none" w:sz="0" w:space="0" w:color="auto"/>
            <w:bottom w:val="none" w:sz="0" w:space="0" w:color="auto"/>
            <w:right w:val="none" w:sz="0" w:space="0" w:color="auto"/>
          </w:divBdr>
        </w:div>
        <w:div w:id="129593926">
          <w:marLeft w:val="0"/>
          <w:marRight w:val="0"/>
          <w:marTop w:val="0"/>
          <w:marBottom w:val="0"/>
          <w:divBdr>
            <w:top w:val="none" w:sz="0" w:space="0" w:color="auto"/>
            <w:left w:val="none" w:sz="0" w:space="0" w:color="auto"/>
            <w:bottom w:val="none" w:sz="0" w:space="0" w:color="auto"/>
            <w:right w:val="none" w:sz="0" w:space="0" w:color="auto"/>
          </w:divBdr>
        </w:div>
        <w:div w:id="178203254">
          <w:marLeft w:val="0"/>
          <w:marRight w:val="0"/>
          <w:marTop w:val="0"/>
          <w:marBottom w:val="0"/>
          <w:divBdr>
            <w:top w:val="none" w:sz="0" w:space="0" w:color="auto"/>
            <w:left w:val="none" w:sz="0" w:space="0" w:color="auto"/>
            <w:bottom w:val="none" w:sz="0" w:space="0" w:color="auto"/>
            <w:right w:val="none" w:sz="0" w:space="0" w:color="auto"/>
          </w:divBdr>
        </w:div>
        <w:div w:id="402070317">
          <w:marLeft w:val="0"/>
          <w:marRight w:val="0"/>
          <w:marTop w:val="0"/>
          <w:marBottom w:val="0"/>
          <w:divBdr>
            <w:top w:val="none" w:sz="0" w:space="0" w:color="auto"/>
            <w:left w:val="none" w:sz="0" w:space="0" w:color="auto"/>
            <w:bottom w:val="none" w:sz="0" w:space="0" w:color="auto"/>
            <w:right w:val="none" w:sz="0" w:space="0" w:color="auto"/>
          </w:divBdr>
        </w:div>
        <w:div w:id="467359639">
          <w:marLeft w:val="0"/>
          <w:marRight w:val="0"/>
          <w:marTop w:val="0"/>
          <w:marBottom w:val="0"/>
          <w:divBdr>
            <w:top w:val="none" w:sz="0" w:space="0" w:color="auto"/>
            <w:left w:val="none" w:sz="0" w:space="0" w:color="auto"/>
            <w:bottom w:val="none" w:sz="0" w:space="0" w:color="auto"/>
            <w:right w:val="none" w:sz="0" w:space="0" w:color="auto"/>
          </w:divBdr>
        </w:div>
        <w:div w:id="948664345">
          <w:marLeft w:val="0"/>
          <w:marRight w:val="0"/>
          <w:marTop w:val="0"/>
          <w:marBottom w:val="0"/>
          <w:divBdr>
            <w:top w:val="none" w:sz="0" w:space="0" w:color="auto"/>
            <w:left w:val="none" w:sz="0" w:space="0" w:color="auto"/>
            <w:bottom w:val="none" w:sz="0" w:space="0" w:color="auto"/>
            <w:right w:val="none" w:sz="0" w:space="0" w:color="auto"/>
          </w:divBdr>
        </w:div>
        <w:div w:id="1136412334">
          <w:marLeft w:val="0"/>
          <w:marRight w:val="0"/>
          <w:marTop w:val="0"/>
          <w:marBottom w:val="0"/>
          <w:divBdr>
            <w:top w:val="none" w:sz="0" w:space="0" w:color="auto"/>
            <w:left w:val="none" w:sz="0" w:space="0" w:color="auto"/>
            <w:bottom w:val="none" w:sz="0" w:space="0" w:color="auto"/>
            <w:right w:val="none" w:sz="0" w:space="0" w:color="auto"/>
          </w:divBdr>
        </w:div>
        <w:div w:id="1280407358">
          <w:marLeft w:val="0"/>
          <w:marRight w:val="0"/>
          <w:marTop w:val="0"/>
          <w:marBottom w:val="0"/>
          <w:divBdr>
            <w:top w:val="none" w:sz="0" w:space="0" w:color="auto"/>
            <w:left w:val="none" w:sz="0" w:space="0" w:color="auto"/>
            <w:bottom w:val="none" w:sz="0" w:space="0" w:color="auto"/>
            <w:right w:val="none" w:sz="0" w:space="0" w:color="auto"/>
          </w:divBdr>
        </w:div>
        <w:div w:id="1286959095">
          <w:marLeft w:val="0"/>
          <w:marRight w:val="0"/>
          <w:marTop w:val="0"/>
          <w:marBottom w:val="0"/>
          <w:divBdr>
            <w:top w:val="none" w:sz="0" w:space="0" w:color="auto"/>
            <w:left w:val="none" w:sz="0" w:space="0" w:color="auto"/>
            <w:bottom w:val="none" w:sz="0" w:space="0" w:color="auto"/>
            <w:right w:val="none" w:sz="0" w:space="0" w:color="auto"/>
          </w:divBdr>
        </w:div>
        <w:div w:id="1424566298">
          <w:marLeft w:val="0"/>
          <w:marRight w:val="0"/>
          <w:marTop w:val="0"/>
          <w:marBottom w:val="0"/>
          <w:divBdr>
            <w:top w:val="none" w:sz="0" w:space="0" w:color="auto"/>
            <w:left w:val="none" w:sz="0" w:space="0" w:color="auto"/>
            <w:bottom w:val="none" w:sz="0" w:space="0" w:color="auto"/>
            <w:right w:val="none" w:sz="0" w:space="0" w:color="auto"/>
          </w:divBdr>
        </w:div>
        <w:div w:id="1443719780">
          <w:marLeft w:val="0"/>
          <w:marRight w:val="0"/>
          <w:marTop w:val="0"/>
          <w:marBottom w:val="0"/>
          <w:divBdr>
            <w:top w:val="none" w:sz="0" w:space="0" w:color="auto"/>
            <w:left w:val="none" w:sz="0" w:space="0" w:color="auto"/>
            <w:bottom w:val="none" w:sz="0" w:space="0" w:color="auto"/>
            <w:right w:val="none" w:sz="0" w:space="0" w:color="auto"/>
          </w:divBdr>
        </w:div>
        <w:div w:id="1768500024">
          <w:marLeft w:val="0"/>
          <w:marRight w:val="0"/>
          <w:marTop w:val="0"/>
          <w:marBottom w:val="0"/>
          <w:divBdr>
            <w:top w:val="none" w:sz="0" w:space="0" w:color="auto"/>
            <w:left w:val="none" w:sz="0" w:space="0" w:color="auto"/>
            <w:bottom w:val="none" w:sz="0" w:space="0" w:color="auto"/>
            <w:right w:val="none" w:sz="0" w:space="0" w:color="auto"/>
          </w:divBdr>
        </w:div>
        <w:div w:id="189373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2228</Characters>
  <Application>Microsoft Office Word</Application>
  <DocSecurity>4</DocSecurity>
  <Lines>96</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rajono savivaldybės tarybos</vt:lpstr>
      <vt:lpstr>Šiaulių rajono savivaldybės tarybos</vt:lpstr>
    </vt:vector>
  </TitlesOfParts>
  <Company/>
  <LinksUpToDate>false</LinksUpToDate>
  <CharactersWithSpaces>2480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2021-04-01T11:03:00Z</dcterms:created>
  <dc:creator>rg</dc:creator>
  <lastModifiedBy>adlibuser</lastModifiedBy>
  <lastPrinted>2016-02-01T14:17:00Z</lastPrinted>
  <dcterms:modified xsi:type="dcterms:W3CDTF">2021-04-01T11:03:00Z</dcterms:modified>
  <revision>2</revision>
  <dc:title>Šiaulių rajono savivaldybės tarybos</dc:title>
</coreProperties>
</file>