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4EB6" w14:textId="49196CE1" w:rsidR="0044571C" w:rsidRDefault="009E676E">
      <w:pPr>
        <w:ind w:left="9107"/>
        <w:jc w:val="both"/>
      </w:pPr>
      <w:r>
        <w:t>Forma patvirtinta</w:t>
      </w:r>
    </w:p>
    <w:p w14:paraId="28334EB7" w14:textId="6F72BFCA" w:rsidR="0044571C" w:rsidRDefault="009E676E">
      <w:pPr>
        <w:ind w:left="9107"/>
        <w:jc w:val="both"/>
      </w:pPr>
      <w:r>
        <w:t>Lietuvos policijos generalinio komisaro</w:t>
      </w:r>
    </w:p>
    <w:p w14:paraId="28334EB8" w14:textId="2034903C" w:rsidR="0044571C" w:rsidRDefault="009E676E">
      <w:pPr>
        <w:ind w:left="9107" w:right="562"/>
        <w:jc w:val="both"/>
      </w:pPr>
      <w:bookmarkStart w:id="0" w:name="_GoBack"/>
      <w:bookmarkEnd w:id="0"/>
      <w:r>
        <w:t xml:space="preserve">2018 m. birželio </w:t>
      </w:r>
      <w:r w:rsidR="000579EC">
        <w:t>18</w:t>
      </w:r>
      <w:r>
        <w:t xml:space="preserve"> d. įsakymu Nr. 5-V-</w:t>
      </w:r>
      <w:r w:rsidR="000579EC">
        <w:t>561</w:t>
      </w:r>
    </w:p>
    <w:p w14:paraId="28334EB9" w14:textId="77777777" w:rsidR="0044571C" w:rsidRDefault="0044571C">
      <w:pPr>
        <w:ind w:left="9107" w:right="562"/>
        <w:jc w:val="both"/>
      </w:pPr>
    </w:p>
    <w:p w14:paraId="28334EBA" w14:textId="77777777" w:rsidR="0044571C" w:rsidRDefault="009E676E">
      <w:pPr>
        <w:pStyle w:val="Pagrindinistekstas"/>
        <w:tabs>
          <w:tab w:val="left" w:pos="1276"/>
        </w:tabs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(Ataskaitos apie įsigytus ir parduotus ginklus, jų priedėlius ir šaudmenis forma)</w:t>
      </w:r>
    </w:p>
    <w:p w14:paraId="28334EBB" w14:textId="77777777" w:rsidR="0044571C" w:rsidRDefault="0044571C">
      <w:pPr>
        <w:overflowPunct w:val="0"/>
      </w:pPr>
    </w:p>
    <w:p w14:paraId="28334EBC" w14:textId="77777777" w:rsidR="0044571C" w:rsidRDefault="009E676E">
      <w:pPr>
        <w:overflowPunct w:val="0"/>
        <w:jc w:val="center"/>
      </w:pPr>
      <w:r>
        <w:t>____________________________________________________________*</w:t>
      </w:r>
    </w:p>
    <w:p w14:paraId="28334EBD" w14:textId="77777777" w:rsidR="0044571C" w:rsidRDefault="009E676E">
      <w:pPr>
        <w:overflowPunct w:val="0"/>
        <w:jc w:val="center"/>
      </w:pPr>
      <w:r>
        <w:t>(asmens, turinčio leidimą laikyti ginklus, vardas, pavardė ar pavadinimas)*</w:t>
      </w:r>
    </w:p>
    <w:p w14:paraId="28334EBE" w14:textId="77777777" w:rsidR="0044571C" w:rsidRDefault="0044571C"/>
    <w:p w14:paraId="28334EBF" w14:textId="77777777" w:rsidR="0044571C" w:rsidRDefault="009E676E">
      <w:pPr>
        <w:keepNext/>
        <w:overflowPunct w:val="0"/>
        <w:jc w:val="center"/>
      </w:pPr>
      <w:r>
        <w:rPr>
          <w:b/>
          <w:bCs/>
          <w:iCs/>
        </w:rPr>
        <w:t>ATASKAITA APIE ĮSIGYTUS IR PARDUOTUS GINKLUS, JŲ PRIEDĖLIUS IR ŠAUDMENIS</w:t>
      </w:r>
    </w:p>
    <w:p w14:paraId="28334EC0" w14:textId="77777777" w:rsidR="0044571C" w:rsidRDefault="0044571C"/>
    <w:p w14:paraId="28334EC1" w14:textId="77777777" w:rsidR="0044571C" w:rsidRDefault="009E676E">
      <w:pPr>
        <w:overflowPunct w:val="0"/>
        <w:jc w:val="center"/>
      </w:pPr>
      <w:r>
        <w:t>20    -    -     Nr. *</w:t>
      </w:r>
    </w:p>
    <w:tbl>
      <w:tblPr>
        <w:tblW w:w="2835" w:type="dxa"/>
        <w:tblInd w:w="6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</w:tblGrid>
      <w:tr w:rsidR="0044571C" w14:paraId="28334EC3" w14:textId="77777777"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4EC2" w14:textId="77777777" w:rsidR="0044571C" w:rsidRDefault="0044571C">
            <w:pPr>
              <w:overflowPunct w:val="0"/>
              <w:ind w:left="-170"/>
              <w:jc w:val="center"/>
            </w:pPr>
          </w:p>
        </w:tc>
      </w:tr>
      <w:tr w:rsidR="0044571C" w14:paraId="28334EC5" w14:textId="77777777">
        <w:tc>
          <w:tcPr>
            <w:tcW w:w="283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4EC4" w14:textId="77777777" w:rsidR="0044571C" w:rsidRDefault="009E676E">
            <w:pPr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(dokumento sudarymo vieta)*</w:t>
            </w:r>
          </w:p>
        </w:tc>
      </w:tr>
    </w:tbl>
    <w:p w14:paraId="28334EC6" w14:textId="77777777" w:rsidR="0044571C" w:rsidRDefault="0044571C">
      <w:pPr>
        <w:overflowPunct w:val="0"/>
      </w:pPr>
    </w:p>
    <w:tbl>
      <w:tblPr>
        <w:tblW w:w="145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2429"/>
        <w:gridCol w:w="2428"/>
        <w:gridCol w:w="2429"/>
        <w:gridCol w:w="2430"/>
      </w:tblGrid>
      <w:tr w:rsidR="0044571C" w14:paraId="28334ED0" w14:textId="77777777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C7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Ginklo rūšis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C8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Importuotų, įvežtų ar</w:t>
            </w:r>
          </w:p>
          <w:p w14:paraId="28334EC9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įsigytų kiekis (vnt.)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CA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Eksportuotų, išvežtų</w:t>
            </w:r>
          </w:p>
          <w:p w14:paraId="28334ECB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realizuotų kitiems</w:t>
            </w:r>
          </w:p>
          <w:p w14:paraId="28334ECC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ginklų prekybininkams</w:t>
            </w:r>
          </w:p>
          <w:p w14:paraId="28334ECD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 (vnt.)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CE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Realizuotų fiziniams ir juridiniams asmenims, išskyrus nurodytiems 2 grafoje, kiekis (vnt.)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CF" w14:textId="77777777" w:rsidR="0044571C" w:rsidRDefault="009E67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Likutis ataskaitinio laikotarpio pabaigoje (vnt.)</w:t>
            </w:r>
          </w:p>
        </w:tc>
      </w:tr>
      <w:tr w:rsidR="0044571C" w14:paraId="28334ED6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1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signaliniai šautuvai, pistoletai (revolveriai)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2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3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4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5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EDC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7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šautuvai ir pistoletai, skirti povandeninei medžioklei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8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9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A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B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EE2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D" w14:textId="77777777" w:rsidR="0044571C" w:rsidRDefault="009E676E">
            <w:pPr>
              <w:pStyle w:val="Standard"/>
              <w:rPr>
                <w:sz w:val="20"/>
                <w:szCs w:val="20"/>
              </w:rPr>
            </w:pPr>
            <w:bookmarkStart w:id="1" w:name="yJyPb8"/>
            <w:bookmarkEnd w:id="1"/>
            <w:r>
              <w:rPr>
                <w:sz w:val="20"/>
                <w:szCs w:val="20"/>
              </w:rPr>
              <w:t>D kat</w:t>
            </w:r>
            <w:r>
              <w:rPr>
                <w:color w:val="000000"/>
                <w:sz w:val="20"/>
                <w:szCs w:val="20"/>
              </w:rPr>
              <w:t>egorijos</w:t>
            </w:r>
            <w:r>
              <w:rPr>
                <w:sz w:val="20"/>
                <w:szCs w:val="20"/>
              </w:rPr>
              <w:t xml:space="preserve"> pneumatiniai ginklai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E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DF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0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1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EE8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3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senoviniai ginklai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4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5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6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7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EEE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9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 kategorijos svoriniai </w:t>
            </w:r>
            <w:proofErr w:type="spellStart"/>
            <w:r>
              <w:rPr>
                <w:color w:val="000000"/>
                <w:sz w:val="20"/>
                <w:szCs w:val="20"/>
              </w:rPr>
              <w:t>gabaritiniai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ginklų maketai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A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B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C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D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EF4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EF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visiškai netinkami naudoti ginklai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0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1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2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3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EFA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5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elektros šoko įtaisai savigynai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6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7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8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9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F00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B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mokytis šaudyti ir šaudymo treniruotėms skirti šaunamieji ginklai, pritaikyti šaudyti tik specialiais šoviniais su dažų užtaisais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C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D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E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EFF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F06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1" w14:textId="77777777" w:rsidR="0044571C" w:rsidRDefault="009E67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kategorijos dujiniai aerozoliniai įrenginiai, įtaisai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2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3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4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5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F0C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7" w14:textId="77777777" w:rsidR="0044571C" w:rsidRDefault="009E676E">
            <w:pPr>
              <w:pStyle w:val="Standard"/>
              <w:rPr>
                <w:sz w:val="20"/>
                <w:szCs w:val="20"/>
              </w:rPr>
            </w:pPr>
            <w:bookmarkStart w:id="2" w:name="yJyPg9"/>
            <w:bookmarkEnd w:id="2"/>
            <w:r>
              <w:rPr>
                <w:sz w:val="20"/>
                <w:szCs w:val="20"/>
              </w:rPr>
              <w:t>Optiniai taikikliai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8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9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A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B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571C" w14:paraId="28334F12" w14:textId="77777777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D" w14:textId="77777777" w:rsidR="0044571C" w:rsidRDefault="009E676E">
            <w:pPr>
              <w:pStyle w:val="Standard"/>
              <w:rPr>
                <w:sz w:val="20"/>
                <w:szCs w:val="20"/>
              </w:rPr>
            </w:pPr>
            <w:bookmarkStart w:id="3" w:name="yJyPm9"/>
            <w:bookmarkEnd w:id="3"/>
            <w:r>
              <w:rPr>
                <w:sz w:val="20"/>
                <w:szCs w:val="20"/>
              </w:rPr>
              <w:t>Lazeriniai taikikliai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E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0F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10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4F11" w14:textId="77777777" w:rsidR="0044571C" w:rsidRDefault="0044571C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334F13" w14:textId="77777777" w:rsidR="0044571C" w:rsidRDefault="0044571C">
      <w:pPr>
        <w:pStyle w:val="Standard"/>
        <w:jc w:val="center"/>
      </w:pPr>
    </w:p>
    <w:p w14:paraId="28334F14" w14:textId="77777777" w:rsidR="0044571C" w:rsidRDefault="009E676E">
      <w:pPr>
        <w:pStyle w:val="Standard"/>
        <w:rPr>
          <w:b/>
          <w:bCs/>
        </w:rPr>
      </w:pPr>
      <w:r>
        <w:rPr>
          <w:b/>
          <w:bCs/>
        </w:rPr>
        <w:t>Pastaba.</w:t>
      </w:r>
    </w:p>
    <w:p w14:paraId="28334F15" w14:textId="77777777" w:rsidR="0044571C" w:rsidRDefault="009E676E">
      <w:pPr>
        <w:pStyle w:val="Standard"/>
      </w:pPr>
      <w:r>
        <w:t>* Laukai užpildomi automatiškai.</w:t>
      </w:r>
    </w:p>
    <w:p w14:paraId="28334F16" w14:textId="77777777" w:rsidR="0044571C" w:rsidRDefault="009E676E">
      <w:pPr>
        <w:pStyle w:val="Standard"/>
        <w:jc w:val="center"/>
      </w:pPr>
      <w:r>
        <w:t>_____________________________________________</w:t>
      </w:r>
    </w:p>
    <w:sectPr w:rsidR="0044571C">
      <w:pgSz w:w="16840" w:h="11907" w:orient="landscape"/>
      <w:pgMar w:top="533" w:right="1134" w:bottom="562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4F19" w14:textId="77777777" w:rsidR="009E676E" w:rsidRDefault="009E676E">
      <w:r>
        <w:separator/>
      </w:r>
    </w:p>
  </w:endnote>
  <w:endnote w:type="continuationSeparator" w:id="0">
    <w:p w14:paraId="28334F1A" w14:textId="77777777" w:rsidR="009E676E" w:rsidRDefault="009E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TimesLT, 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34F17" w14:textId="77777777" w:rsidR="009E676E" w:rsidRDefault="009E676E">
      <w:r>
        <w:rPr>
          <w:color w:val="000000"/>
        </w:rPr>
        <w:separator/>
      </w:r>
    </w:p>
  </w:footnote>
  <w:footnote w:type="continuationSeparator" w:id="0">
    <w:p w14:paraId="28334F18" w14:textId="77777777" w:rsidR="009E676E" w:rsidRDefault="009E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C"/>
    <w:rsid w:val="000579EC"/>
    <w:rsid w:val="0044571C"/>
    <w:rsid w:val="00611F6D"/>
    <w:rsid w:val="006E2CDC"/>
    <w:rsid w:val="009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34E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t-LT" w:eastAsia="zh-CN" w:bidi="ar-SA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autoSpaceDN w:val="0"/>
    </w:pPr>
    <w:rPr>
      <w:rFonts w:cs="FreeSans"/>
      <w:lang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Free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  <w:uiPriority w:val="99"/>
  </w:style>
  <w:style w:type="paragraph" w:styleId="Antrat">
    <w:name w:val="caption"/>
    <w:basedOn w:val="Standard"/>
    <w:uiPriority w:val="35"/>
    <w:pPr>
      <w:suppressLineNumbers/>
      <w:spacing w:before="120" w:after="120"/>
    </w:pPr>
    <w:rPr>
      <w:rFonts w:ascii="TimesLT, 'Times New Roman'" w:hAnsi="TimesLT, 'Times New Roman'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LT, 'Times New Roman'" w:hAnsi="TimesLT, 'Times New Roman'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stekstas">
    <w:name w:val="Body Text"/>
    <w:basedOn w:val="Standard"/>
    <w:link w:val="PagrindinistekstasDiagrama"/>
    <w:uiPriority w:val="99"/>
    <w:pPr>
      <w:autoSpaceDE w:val="0"/>
      <w:spacing w:line="288" w:lineRule="auto"/>
      <w:ind w:firstLine="312"/>
      <w:jc w:val="both"/>
      <w:textAlignment w:val="center"/>
    </w:pPr>
    <w:rPr>
      <w:color w:val="000000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cs="Mangal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t-LT" w:eastAsia="zh-CN" w:bidi="ar-SA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autoSpaceDN w:val="0"/>
    </w:pPr>
    <w:rPr>
      <w:rFonts w:cs="FreeSans"/>
      <w:lang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Free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  <w:uiPriority w:val="99"/>
  </w:style>
  <w:style w:type="paragraph" w:styleId="Antrat">
    <w:name w:val="caption"/>
    <w:basedOn w:val="Standard"/>
    <w:uiPriority w:val="35"/>
    <w:pPr>
      <w:suppressLineNumbers/>
      <w:spacing w:before="120" w:after="120"/>
    </w:pPr>
    <w:rPr>
      <w:rFonts w:ascii="TimesLT, 'Times New Roman'" w:hAnsi="TimesLT, 'Times New Roman'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LT, 'Times New Roman'" w:hAnsi="TimesLT, 'Times New Roman'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stekstas">
    <w:name w:val="Body Text"/>
    <w:basedOn w:val="Standard"/>
    <w:link w:val="PagrindinistekstasDiagrama"/>
    <w:uiPriority w:val="99"/>
    <w:pPr>
      <w:autoSpaceDE w:val="0"/>
      <w:spacing w:line="288" w:lineRule="auto"/>
      <w:ind w:firstLine="312"/>
      <w:jc w:val="both"/>
      <w:textAlignment w:val="center"/>
    </w:pPr>
    <w:rPr>
      <w:color w:val="000000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Š</dc:creator>
  <cp:lastModifiedBy>PETRAUSKAITĖ Girmantė</cp:lastModifiedBy>
  <cp:revision>3</cp:revision>
  <dcterms:created xsi:type="dcterms:W3CDTF">2018-06-18T10:35:00Z</dcterms:created>
  <dcterms:modified xsi:type="dcterms:W3CDTF">2018-06-18T10:45:00Z</dcterms:modified>
</cp:coreProperties>
</file>