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19191"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PATVIRTINTA</w:t>
      </w:r>
    </w:p>
    <w:p w14:paraId="762A56CB"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Lietuvos Respublikos švietimo ir mokslo</w:t>
      </w:r>
    </w:p>
    <w:p w14:paraId="515091E5"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ministro 2017 m. balandžio 24 d.</w:t>
      </w:r>
    </w:p>
    <w:p w14:paraId="1AF9EA77"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įsakymu Nr. V-273</w:t>
      </w:r>
    </w:p>
    <w:p w14:paraId="73296333" w14:textId="77777777" w:rsidR="00B5030E" w:rsidRDefault="00B5030E" w:rsidP="00B037C6">
      <w:pPr>
        <w:spacing w:after="0" w:line="240" w:lineRule="auto"/>
        <w:jc w:val="center"/>
        <w:rPr>
          <w:rFonts w:ascii="Times New Roman" w:hAnsi="Times New Roman" w:cs="Times New Roman"/>
          <w:b/>
          <w:sz w:val="24"/>
          <w:szCs w:val="24"/>
        </w:rPr>
      </w:pPr>
    </w:p>
    <w:p w14:paraId="73296334" w14:textId="77777777" w:rsidR="00B037C6" w:rsidRPr="005A17C2" w:rsidRDefault="00B037C6" w:rsidP="00B037C6">
      <w:pPr>
        <w:spacing w:after="0" w:line="240" w:lineRule="auto"/>
        <w:jc w:val="center"/>
        <w:rPr>
          <w:rFonts w:ascii="Times New Roman" w:hAnsi="Times New Roman" w:cs="Times New Roman"/>
          <w:b/>
          <w:sz w:val="24"/>
          <w:szCs w:val="24"/>
        </w:rPr>
      </w:pPr>
      <w:r w:rsidRPr="005A17C2">
        <w:rPr>
          <w:rFonts w:ascii="Times New Roman" w:hAnsi="Times New Roman" w:cs="Times New Roman"/>
          <w:b/>
          <w:sz w:val="24"/>
          <w:szCs w:val="24"/>
        </w:rPr>
        <w:t xml:space="preserve">KANCEROGENEZĖS BEI PIKTYBINIŲ NAVIKŲ EPIDEMIOLOGIJOS TYRIMAI VĖŽIO PROFILAKTIKOS PLĖTRAI </w:t>
      </w:r>
    </w:p>
    <w:p w14:paraId="73296335" w14:textId="77777777" w:rsidR="00B037C6" w:rsidRPr="005A17C2" w:rsidRDefault="00B037C6" w:rsidP="00B037C6">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9749"/>
      </w:tblGrid>
      <w:tr w:rsidR="00B037C6" w:rsidRPr="005A17C2" w14:paraId="73296339" w14:textId="77777777" w:rsidTr="002C7813">
        <w:tc>
          <w:tcPr>
            <w:tcW w:w="9749" w:type="dxa"/>
          </w:tcPr>
          <w:p w14:paraId="73296336" w14:textId="77777777" w:rsidR="00B037C6" w:rsidRPr="003A744B" w:rsidRDefault="003A744B" w:rsidP="003A744B">
            <w:pPr>
              <w:pStyle w:val="Betarp"/>
              <w:jc w:val="both"/>
              <w:rPr>
                <w:rFonts w:ascii="Times New Roman" w:hAnsi="Times New Roman"/>
                <w:sz w:val="24"/>
                <w:szCs w:val="24"/>
              </w:rPr>
            </w:pPr>
            <w:r w:rsidRPr="003A744B">
              <w:rPr>
                <w:rFonts w:ascii="Times New Roman" w:hAnsi="Times New Roman"/>
                <w:b/>
                <w:sz w:val="24"/>
                <w:szCs w:val="24"/>
              </w:rPr>
              <w:t xml:space="preserve">    1. </w:t>
            </w:r>
            <w:r w:rsidR="00B037C6" w:rsidRPr="003A744B">
              <w:rPr>
                <w:rFonts w:ascii="Times New Roman" w:hAnsi="Times New Roman"/>
                <w:b/>
                <w:sz w:val="24"/>
                <w:szCs w:val="24"/>
              </w:rPr>
              <w:t xml:space="preserve">Programos vykdytojas – </w:t>
            </w:r>
            <w:r w:rsidR="00B037C6" w:rsidRPr="003A744B">
              <w:rPr>
                <w:rFonts w:ascii="Times New Roman" w:hAnsi="Times New Roman"/>
                <w:sz w:val="24"/>
                <w:szCs w:val="24"/>
              </w:rPr>
              <w:t>Nacionalinis vėžio institutas</w:t>
            </w:r>
            <w:r w:rsidR="00516910">
              <w:rPr>
                <w:rFonts w:ascii="Times New Roman" w:hAnsi="Times New Roman"/>
                <w:sz w:val="24"/>
                <w:szCs w:val="24"/>
              </w:rPr>
              <w:t xml:space="preserve"> (toliau – NVI)</w:t>
            </w:r>
            <w:r w:rsidR="00B037C6" w:rsidRPr="003A744B">
              <w:rPr>
                <w:rFonts w:ascii="Times New Roman" w:hAnsi="Times New Roman"/>
                <w:sz w:val="24"/>
                <w:szCs w:val="24"/>
              </w:rPr>
              <w:t>.</w:t>
            </w:r>
          </w:p>
          <w:p w14:paraId="73296337" w14:textId="77777777" w:rsidR="00B037C6" w:rsidRPr="003A744B" w:rsidRDefault="00B037C6" w:rsidP="003A744B">
            <w:pPr>
              <w:pStyle w:val="Betarp"/>
              <w:jc w:val="both"/>
              <w:rPr>
                <w:rFonts w:ascii="Times New Roman" w:hAnsi="Times New Roman"/>
                <w:sz w:val="24"/>
                <w:szCs w:val="24"/>
              </w:rPr>
            </w:pPr>
            <w:r w:rsidRPr="003A744B">
              <w:rPr>
                <w:rFonts w:ascii="Times New Roman" w:hAnsi="Times New Roman"/>
                <w:sz w:val="24"/>
                <w:szCs w:val="24"/>
              </w:rPr>
              <w:t>Norminiai etatai skirti programai – 6,2</w:t>
            </w:r>
            <w:r w:rsidR="00E4652B" w:rsidRPr="003A744B">
              <w:rPr>
                <w:rFonts w:ascii="Times New Roman" w:hAnsi="Times New Roman"/>
                <w:sz w:val="24"/>
                <w:szCs w:val="24"/>
              </w:rPr>
              <w:t>.</w:t>
            </w:r>
          </w:p>
          <w:p w14:paraId="73296338" w14:textId="77777777" w:rsidR="00B037C6" w:rsidRPr="003A744B" w:rsidRDefault="003A744B" w:rsidP="003A744B">
            <w:pPr>
              <w:pStyle w:val="Betarp"/>
              <w:jc w:val="both"/>
              <w:rPr>
                <w:rFonts w:ascii="Times New Roman" w:hAnsi="Times New Roman"/>
                <w:sz w:val="24"/>
                <w:szCs w:val="24"/>
              </w:rPr>
            </w:pPr>
            <w:r w:rsidRPr="003A744B">
              <w:rPr>
                <w:rFonts w:ascii="Times New Roman" w:hAnsi="Times New Roman"/>
                <w:b/>
                <w:sz w:val="24"/>
                <w:szCs w:val="24"/>
              </w:rPr>
              <w:t xml:space="preserve">    </w:t>
            </w:r>
            <w:r w:rsidR="00B037C6" w:rsidRPr="003A744B">
              <w:rPr>
                <w:rFonts w:ascii="Times New Roman" w:hAnsi="Times New Roman"/>
                <w:b/>
                <w:sz w:val="24"/>
                <w:szCs w:val="24"/>
              </w:rPr>
              <w:t>2. Programos tikslas –</w:t>
            </w:r>
            <w:r w:rsidR="000B19A8" w:rsidRPr="003A744B">
              <w:rPr>
                <w:rFonts w:ascii="Times New Roman" w:hAnsi="Times New Roman"/>
                <w:b/>
                <w:sz w:val="24"/>
                <w:szCs w:val="24"/>
              </w:rPr>
              <w:t xml:space="preserve"> </w:t>
            </w:r>
            <w:r w:rsidR="00B037C6" w:rsidRPr="003A744B">
              <w:rPr>
                <w:rFonts w:ascii="Times New Roman" w:hAnsi="Times New Roman"/>
                <w:sz w:val="24"/>
                <w:szCs w:val="24"/>
              </w:rPr>
              <w:t xml:space="preserve">taikant epidemiologinius tyrimų metodus analizuoti aplinkos, </w:t>
            </w:r>
            <w:proofErr w:type="spellStart"/>
            <w:r w:rsidR="00B037C6" w:rsidRPr="003A744B">
              <w:rPr>
                <w:rFonts w:ascii="Times New Roman" w:hAnsi="Times New Roman"/>
                <w:sz w:val="24"/>
                <w:szCs w:val="24"/>
              </w:rPr>
              <w:t>socioekonominių</w:t>
            </w:r>
            <w:proofErr w:type="spellEnd"/>
            <w:r w:rsidR="00B037C6" w:rsidRPr="003A744B">
              <w:rPr>
                <w:rFonts w:ascii="Times New Roman" w:hAnsi="Times New Roman"/>
                <w:sz w:val="24"/>
                <w:szCs w:val="24"/>
              </w:rPr>
              <w:t xml:space="preserve"> bei endogeninių veiksnių įtaką onkologinių ligų pasireiškimui. Šios programos kontekste bus atliekama sergamumo, mirtingumo ir </w:t>
            </w:r>
            <w:proofErr w:type="spellStart"/>
            <w:r w:rsidR="00B037C6" w:rsidRPr="003A744B">
              <w:rPr>
                <w:rFonts w:ascii="Times New Roman" w:hAnsi="Times New Roman"/>
                <w:sz w:val="24"/>
                <w:szCs w:val="24"/>
              </w:rPr>
              <w:t>išgyvenamumo</w:t>
            </w:r>
            <w:proofErr w:type="spellEnd"/>
            <w:r w:rsidR="00B037C6" w:rsidRPr="003A744B">
              <w:rPr>
                <w:rFonts w:ascii="Times New Roman" w:hAnsi="Times New Roman"/>
                <w:sz w:val="24"/>
                <w:szCs w:val="24"/>
              </w:rPr>
              <w:t xml:space="preserve"> tendencijų palyginamoji analizė siekiant išaiškinti aplinkos, genetinių, klinikinių ir </w:t>
            </w:r>
            <w:proofErr w:type="spellStart"/>
            <w:r w:rsidR="00B037C6" w:rsidRPr="003A744B">
              <w:rPr>
                <w:rFonts w:ascii="Times New Roman" w:hAnsi="Times New Roman"/>
                <w:sz w:val="24"/>
                <w:szCs w:val="24"/>
              </w:rPr>
              <w:t>socioekonominių</w:t>
            </w:r>
            <w:proofErr w:type="spellEnd"/>
            <w:r w:rsidR="00B037C6" w:rsidRPr="003A744B">
              <w:rPr>
                <w:rFonts w:ascii="Times New Roman" w:hAnsi="Times New Roman"/>
                <w:sz w:val="24"/>
                <w:szCs w:val="24"/>
              </w:rPr>
              <w:t xml:space="preserve"> veiksnių poveikį onkologinių ligų rizikai, bei sergančiųjų onkologinėmis ligomis </w:t>
            </w:r>
            <w:proofErr w:type="spellStart"/>
            <w:r w:rsidR="00B037C6" w:rsidRPr="003A744B">
              <w:rPr>
                <w:rFonts w:ascii="Times New Roman" w:hAnsi="Times New Roman"/>
                <w:sz w:val="24"/>
                <w:szCs w:val="24"/>
              </w:rPr>
              <w:t>išgyvenamumui</w:t>
            </w:r>
            <w:proofErr w:type="spellEnd"/>
            <w:r w:rsidR="00B037C6" w:rsidRPr="003A744B">
              <w:rPr>
                <w:rFonts w:ascii="Times New Roman" w:hAnsi="Times New Roman"/>
                <w:sz w:val="24"/>
                <w:szCs w:val="24"/>
              </w:rPr>
              <w:t>. Šios programos mokslinių tyrimų rezultatai turėtų padėti priimti sprendimus dėl tolimesnių veiksmų, užtikrinančių nuoseklią, planingą, kryptingą, turinčią ilgalaikį poveikį, orientuotą į aktualių valstybės ir visuomenės problemų sprendimų sveikatos politiką onkologinės pagalbos srityje.</w:t>
            </w:r>
          </w:p>
        </w:tc>
      </w:tr>
      <w:tr w:rsidR="00B037C6" w:rsidRPr="005A17C2" w14:paraId="7329633B" w14:textId="77777777" w:rsidTr="002C7813">
        <w:tc>
          <w:tcPr>
            <w:tcW w:w="9749" w:type="dxa"/>
          </w:tcPr>
          <w:p w14:paraId="7329633A" w14:textId="77777777" w:rsidR="00B037C6" w:rsidRPr="003A744B" w:rsidRDefault="003A744B" w:rsidP="003A744B">
            <w:pPr>
              <w:pStyle w:val="Betarp"/>
              <w:jc w:val="both"/>
              <w:rPr>
                <w:rFonts w:ascii="Times New Roman" w:hAnsi="Times New Roman"/>
                <w:sz w:val="24"/>
                <w:szCs w:val="24"/>
              </w:rPr>
            </w:pPr>
            <w:r w:rsidRPr="003A744B">
              <w:rPr>
                <w:rFonts w:ascii="Times New Roman" w:hAnsi="Times New Roman"/>
                <w:b/>
                <w:sz w:val="24"/>
                <w:szCs w:val="24"/>
              </w:rPr>
              <w:t xml:space="preserve">    </w:t>
            </w:r>
            <w:r w:rsidR="00B037C6" w:rsidRPr="003A744B">
              <w:rPr>
                <w:rFonts w:ascii="Times New Roman" w:hAnsi="Times New Roman"/>
                <w:b/>
                <w:sz w:val="24"/>
                <w:szCs w:val="24"/>
              </w:rPr>
              <w:t xml:space="preserve">3. Programos </w:t>
            </w:r>
            <w:r w:rsidR="00E4652B" w:rsidRPr="003A744B">
              <w:rPr>
                <w:rFonts w:ascii="Times New Roman" w:hAnsi="Times New Roman"/>
                <w:b/>
                <w:sz w:val="24"/>
                <w:szCs w:val="24"/>
              </w:rPr>
              <w:t xml:space="preserve">uždavinys - </w:t>
            </w:r>
            <w:r w:rsidR="00E4652B" w:rsidRPr="00ED1E47">
              <w:rPr>
                <w:rFonts w:ascii="Times New Roman" w:hAnsi="Times New Roman"/>
                <w:sz w:val="24"/>
                <w:szCs w:val="24"/>
              </w:rPr>
              <w:t>s</w:t>
            </w:r>
            <w:r w:rsidR="00B037C6" w:rsidRPr="003A744B">
              <w:rPr>
                <w:rFonts w:ascii="Times New Roman" w:hAnsi="Times New Roman"/>
                <w:sz w:val="24"/>
                <w:szCs w:val="24"/>
              </w:rPr>
              <w:t xml:space="preserve">ergamumo onkologinėmis ligomis rizikos diferenciacijos tyrimai bei sergamumo ir mirtingumo pokyčius įtakojančių veiksnių analizė. </w:t>
            </w:r>
          </w:p>
        </w:tc>
      </w:tr>
      <w:tr w:rsidR="00B037C6" w:rsidRPr="005A17C2" w14:paraId="7329633E" w14:textId="77777777" w:rsidTr="002C7813">
        <w:tc>
          <w:tcPr>
            <w:tcW w:w="9749" w:type="dxa"/>
          </w:tcPr>
          <w:p w14:paraId="7329633C" w14:textId="77777777" w:rsidR="00B037C6" w:rsidRPr="003A744B" w:rsidRDefault="003A744B" w:rsidP="003A744B">
            <w:pPr>
              <w:pStyle w:val="Betarp"/>
              <w:jc w:val="both"/>
              <w:rPr>
                <w:rFonts w:ascii="Times New Roman" w:hAnsi="Times New Roman"/>
                <w:b/>
                <w:sz w:val="24"/>
                <w:szCs w:val="24"/>
              </w:rPr>
            </w:pPr>
            <w:r w:rsidRPr="003A744B">
              <w:rPr>
                <w:rFonts w:ascii="Times New Roman" w:hAnsi="Times New Roman"/>
                <w:b/>
                <w:sz w:val="24"/>
                <w:szCs w:val="24"/>
              </w:rPr>
              <w:t xml:space="preserve">    </w:t>
            </w:r>
            <w:r w:rsidR="00B037C6" w:rsidRPr="003A744B">
              <w:rPr>
                <w:rFonts w:ascii="Times New Roman" w:hAnsi="Times New Roman"/>
                <w:b/>
                <w:sz w:val="24"/>
                <w:szCs w:val="24"/>
              </w:rPr>
              <w:t>4. Metodologinis tyrimų pagrindimas:</w:t>
            </w:r>
          </w:p>
          <w:p w14:paraId="7329633D" w14:textId="77777777" w:rsidR="00B037C6" w:rsidRPr="003A744B" w:rsidRDefault="00B037C6" w:rsidP="003A744B">
            <w:pPr>
              <w:pStyle w:val="Betarp"/>
              <w:jc w:val="both"/>
              <w:rPr>
                <w:rFonts w:ascii="Times New Roman" w:hAnsi="Times New Roman"/>
                <w:b/>
                <w:sz w:val="24"/>
                <w:szCs w:val="24"/>
                <w:highlight w:val="yellow"/>
              </w:rPr>
            </w:pPr>
            <w:r w:rsidRPr="003A744B">
              <w:rPr>
                <w:rFonts w:ascii="Times New Roman" w:hAnsi="Times New Roman"/>
                <w:sz w:val="24"/>
                <w:szCs w:val="24"/>
              </w:rPr>
              <w:t xml:space="preserve">Epidemiologiniai tyrimai leidžiantys įvertinti esamą padėtį ir galimus pokyčius ateityje, yra vėžio priežasčių tyrimų ir profilaktikos pagrindas, o taip pat leidžia stebėti ir vertinti ankstyvos diagnostikos, patikros, gydymo ir </w:t>
            </w:r>
            <w:proofErr w:type="spellStart"/>
            <w:r w:rsidRPr="003A744B">
              <w:rPr>
                <w:rFonts w:ascii="Times New Roman" w:hAnsi="Times New Roman"/>
                <w:sz w:val="24"/>
                <w:szCs w:val="24"/>
              </w:rPr>
              <w:t>paliatyvios</w:t>
            </w:r>
            <w:proofErr w:type="spellEnd"/>
            <w:r w:rsidRPr="003A744B">
              <w:rPr>
                <w:rFonts w:ascii="Times New Roman" w:hAnsi="Times New Roman"/>
                <w:sz w:val="24"/>
                <w:szCs w:val="24"/>
              </w:rPr>
              <w:t xml:space="preserve"> priežiūros poveikius bendrai onkologinei situacijai šalyje. Uždavinio įgyvendinimui bus naudojamos epidemiologinių analitinių ir </w:t>
            </w:r>
            <w:proofErr w:type="spellStart"/>
            <w:r w:rsidRPr="003A744B">
              <w:rPr>
                <w:rFonts w:ascii="Times New Roman" w:hAnsi="Times New Roman"/>
                <w:sz w:val="24"/>
                <w:szCs w:val="24"/>
              </w:rPr>
              <w:t>deskriptyvinių</w:t>
            </w:r>
            <w:proofErr w:type="spellEnd"/>
            <w:r w:rsidRPr="003A744B">
              <w:rPr>
                <w:rFonts w:ascii="Times New Roman" w:hAnsi="Times New Roman"/>
                <w:sz w:val="24"/>
                <w:szCs w:val="24"/>
              </w:rPr>
              <w:t xml:space="preserve"> tyrimų metodikos. Vėžio rizika bus vertinama naudojat standartizuotus sergamumo/mirtingumo santykius, reliatyvios rizikos, šansų santykio, proporcinės ir atributinės rizikos rodiklius. Ilgalaikių pokyčių analizė bus atliekama naudojant klasikinius sergamumo ir mirtingumo trendų vertinimo metodus, bus vertinamas reliatyvusis </w:t>
            </w:r>
            <w:proofErr w:type="spellStart"/>
            <w:r w:rsidRPr="003A744B">
              <w:rPr>
                <w:rFonts w:ascii="Times New Roman" w:hAnsi="Times New Roman"/>
                <w:sz w:val="24"/>
                <w:szCs w:val="24"/>
              </w:rPr>
              <w:t>išgyvenamumas</w:t>
            </w:r>
            <w:proofErr w:type="spellEnd"/>
            <w:r w:rsidRPr="003A744B">
              <w:rPr>
                <w:rFonts w:ascii="Times New Roman" w:hAnsi="Times New Roman"/>
                <w:sz w:val="24"/>
                <w:szCs w:val="24"/>
              </w:rPr>
              <w:t xml:space="preserve">, </w:t>
            </w:r>
            <w:proofErr w:type="spellStart"/>
            <w:r w:rsidRPr="003A744B">
              <w:rPr>
                <w:rFonts w:ascii="Times New Roman" w:hAnsi="Times New Roman"/>
                <w:sz w:val="24"/>
                <w:szCs w:val="24"/>
              </w:rPr>
              <w:t>išgyvenamumo</w:t>
            </w:r>
            <w:proofErr w:type="spellEnd"/>
            <w:r w:rsidRPr="003A744B">
              <w:rPr>
                <w:rFonts w:ascii="Times New Roman" w:hAnsi="Times New Roman"/>
                <w:sz w:val="24"/>
                <w:szCs w:val="24"/>
              </w:rPr>
              <w:t xml:space="preserve"> skirtumų analizei bus naudojami </w:t>
            </w:r>
            <w:proofErr w:type="spellStart"/>
            <w:r w:rsidRPr="003A744B">
              <w:rPr>
                <w:rFonts w:ascii="Times New Roman" w:hAnsi="Times New Roman"/>
                <w:i/>
                <w:sz w:val="24"/>
                <w:szCs w:val="24"/>
              </w:rPr>
              <w:t>Kaplan-Mayer</w:t>
            </w:r>
            <w:r w:rsidRPr="003A744B">
              <w:rPr>
                <w:rFonts w:ascii="Times New Roman" w:hAnsi="Times New Roman"/>
                <w:sz w:val="24"/>
                <w:szCs w:val="24"/>
              </w:rPr>
              <w:t>,</w:t>
            </w:r>
            <w:proofErr w:type="spellEnd"/>
            <w:r w:rsidRPr="003A744B">
              <w:rPr>
                <w:rFonts w:ascii="Times New Roman" w:hAnsi="Times New Roman"/>
                <w:sz w:val="24"/>
                <w:szCs w:val="24"/>
              </w:rPr>
              <w:t xml:space="preserve"> bei </w:t>
            </w:r>
            <w:proofErr w:type="spellStart"/>
            <w:r w:rsidRPr="003A744B">
              <w:rPr>
                <w:rFonts w:ascii="Times New Roman" w:hAnsi="Times New Roman"/>
                <w:i/>
                <w:sz w:val="24"/>
                <w:szCs w:val="24"/>
              </w:rPr>
              <w:t>Cox</w:t>
            </w:r>
            <w:proofErr w:type="spellEnd"/>
            <w:r w:rsidRPr="003A744B">
              <w:rPr>
                <w:rFonts w:ascii="Times New Roman" w:hAnsi="Times New Roman"/>
                <w:sz w:val="24"/>
                <w:szCs w:val="24"/>
              </w:rPr>
              <w:t xml:space="preserve"> proporcinės rizikos vertinimo metodai.</w:t>
            </w:r>
          </w:p>
        </w:tc>
      </w:tr>
      <w:tr w:rsidR="00B037C6" w:rsidRPr="00861B98" w14:paraId="732963BA" w14:textId="77777777" w:rsidTr="002C7813">
        <w:tc>
          <w:tcPr>
            <w:tcW w:w="9749" w:type="dxa"/>
          </w:tcPr>
          <w:p w14:paraId="7329633F" w14:textId="77777777" w:rsidR="00B037C6" w:rsidRPr="002156F0" w:rsidRDefault="00703573" w:rsidP="002156F0">
            <w:pPr>
              <w:pStyle w:val="Betarp"/>
              <w:jc w:val="both"/>
              <w:rPr>
                <w:rFonts w:ascii="Times New Roman" w:hAnsi="Times New Roman"/>
                <w:b/>
                <w:sz w:val="24"/>
                <w:szCs w:val="24"/>
              </w:rPr>
            </w:pPr>
            <w:r w:rsidRPr="002156F0">
              <w:rPr>
                <w:rFonts w:ascii="Times New Roman" w:hAnsi="Times New Roman"/>
                <w:b/>
                <w:sz w:val="24"/>
                <w:szCs w:val="24"/>
              </w:rPr>
              <w:t xml:space="preserve">    </w:t>
            </w:r>
            <w:r w:rsidR="00B037C6" w:rsidRPr="002156F0">
              <w:rPr>
                <w:rFonts w:ascii="Times New Roman" w:hAnsi="Times New Roman"/>
                <w:b/>
                <w:sz w:val="24"/>
                <w:szCs w:val="24"/>
              </w:rPr>
              <w:t>5. Tyrimų etapai ir jų charakteristikos</w:t>
            </w:r>
            <w:r w:rsidRPr="002156F0">
              <w:rPr>
                <w:rFonts w:ascii="Times New Roman" w:hAnsi="Times New Roman"/>
                <w:b/>
                <w:sz w:val="24"/>
                <w:szCs w:val="24"/>
              </w:rPr>
              <w:t>; detalus įgyvendinimo planas</w:t>
            </w:r>
          </w:p>
          <w:p w14:paraId="73296340" w14:textId="77777777" w:rsidR="00B037C6" w:rsidRPr="002156F0" w:rsidRDefault="00B037C6" w:rsidP="002156F0">
            <w:pPr>
              <w:pStyle w:val="Betarp"/>
              <w:jc w:val="both"/>
              <w:rPr>
                <w:rFonts w:ascii="Times New Roman" w:hAnsi="Times New Roman"/>
                <w:sz w:val="24"/>
                <w:szCs w:val="24"/>
              </w:rPr>
            </w:pPr>
            <w:r w:rsidRPr="002156F0">
              <w:rPr>
                <w:rFonts w:ascii="Times New Roman" w:hAnsi="Times New Roman"/>
                <w:sz w:val="24"/>
                <w:szCs w:val="24"/>
              </w:rPr>
              <w:t>Uždavinio įgyvendinimui bus taikomos šios priemonės:</w:t>
            </w:r>
          </w:p>
          <w:p w14:paraId="73296341" w14:textId="77777777" w:rsidR="005A17C2" w:rsidRPr="002156F0" w:rsidRDefault="002156F0" w:rsidP="002156F0">
            <w:pPr>
              <w:pStyle w:val="Betarp"/>
              <w:jc w:val="both"/>
              <w:rPr>
                <w:rFonts w:ascii="Times New Roman" w:hAnsi="Times New Roman"/>
                <w:sz w:val="24"/>
                <w:szCs w:val="24"/>
              </w:rPr>
            </w:pPr>
            <w:r>
              <w:rPr>
                <w:rFonts w:ascii="Times New Roman" w:hAnsi="Times New Roman"/>
                <w:sz w:val="24"/>
                <w:szCs w:val="24"/>
              </w:rPr>
              <w:t xml:space="preserve">    </w:t>
            </w:r>
            <w:r w:rsidR="002F46AA" w:rsidRPr="002156F0">
              <w:rPr>
                <w:rFonts w:ascii="Times New Roman" w:hAnsi="Times New Roman"/>
                <w:sz w:val="24"/>
                <w:szCs w:val="24"/>
              </w:rPr>
              <w:t>5.1.</w:t>
            </w:r>
            <w:r w:rsidR="00B037C6" w:rsidRPr="002156F0">
              <w:rPr>
                <w:rFonts w:ascii="Times New Roman" w:hAnsi="Times New Roman"/>
                <w:sz w:val="24"/>
                <w:szCs w:val="24"/>
              </w:rPr>
              <w:t xml:space="preserve"> Rizikos veiksnių tyrimai. Bus vykdomi rizikos susirgti piktybiniais navikais tyrimai tarp atskirų Lietuvos gyventojų grupių siekiant sukaupti žinių apie įvairių veiksnių </w:t>
            </w:r>
            <w:proofErr w:type="spellStart"/>
            <w:r w:rsidR="00B037C6" w:rsidRPr="002156F0">
              <w:rPr>
                <w:rFonts w:ascii="Times New Roman" w:hAnsi="Times New Roman"/>
                <w:sz w:val="24"/>
                <w:szCs w:val="24"/>
              </w:rPr>
              <w:t>kancerogeniškumą</w:t>
            </w:r>
            <w:proofErr w:type="spellEnd"/>
            <w:r w:rsidR="00B037C6" w:rsidRPr="002156F0">
              <w:rPr>
                <w:rFonts w:ascii="Times New Roman" w:hAnsi="Times New Roman"/>
                <w:sz w:val="24"/>
                <w:szCs w:val="24"/>
              </w:rPr>
              <w:t xml:space="preserve"> žmogui bei jų poveikį šalies gyventojų sergamumui onkologinėmis ligomis. Planuojami tyrimai apims radiacijos poveikio dėl Černobylio elektrinės avarijos analizę, taip pat bus vertinama kitų lėtinių neinfekcinių (diabetas, reumatas) bei infekcinių ligų (tuberkuliozė) įtaka onkologinių ligų rizikai bei šių ligų poveikis onkologinių ligų eigai ir prognozei.</w:t>
            </w:r>
          </w:p>
          <w:p w14:paraId="73296342" w14:textId="77777777" w:rsidR="005A17C2" w:rsidRPr="002156F0" w:rsidRDefault="002156F0" w:rsidP="002156F0">
            <w:pPr>
              <w:pStyle w:val="Betarp"/>
              <w:jc w:val="both"/>
              <w:rPr>
                <w:rFonts w:ascii="Times New Roman" w:hAnsi="Times New Roman"/>
                <w:sz w:val="24"/>
                <w:szCs w:val="24"/>
              </w:rPr>
            </w:pPr>
            <w:r>
              <w:rPr>
                <w:rFonts w:ascii="Times New Roman" w:hAnsi="Times New Roman"/>
                <w:sz w:val="24"/>
                <w:szCs w:val="24"/>
              </w:rPr>
              <w:t xml:space="preserve">    </w:t>
            </w:r>
            <w:r w:rsidR="002F46AA" w:rsidRPr="002156F0">
              <w:rPr>
                <w:rFonts w:ascii="Times New Roman" w:hAnsi="Times New Roman"/>
                <w:sz w:val="24"/>
                <w:szCs w:val="24"/>
              </w:rPr>
              <w:t>5.</w:t>
            </w:r>
            <w:r w:rsidR="00B037C6" w:rsidRPr="002156F0">
              <w:rPr>
                <w:rFonts w:ascii="Times New Roman" w:hAnsi="Times New Roman"/>
                <w:sz w:val="24"/>
                <w:szCs w:val="24"/>
              </w:rPr>
              <w:t>2</w:t>
            </w:r>
            <w:r w:rsidR="002F46AA" w:rsidRPr="002156F0">
              <w:rPr>
                <w:rFonts w:ascii="Times New Roman" w:hAnsi="Times New Roman"/>
                <w:sz w:val="24"/>
                <w:szCs w:val="24"/>
              </w:rPr>
              <w:t>.</w:t>
            </w:r>
            <w:r w:rsidR="00B037C6" w:rsidRPr="002156F0">
              <w:rPr>
                <w:rFonts w:ascii="Times New Roman" w:hAnsi="Times New Roman"/>
                <w:sz w:val="24"/>
                <w:szCs w:val="24"/>
              </w:rPr>
              <w:t xml:space="preserve"> Sergamumo, mirtingumo ir </w:t>
            </w:r>
            <w:proofErr w:type="spellStart"/>
            <w:r w:rsidR="00B037C6" w:rsidRPr="002156F0">
              <w:rPr>
                <w:rFonts w:ascii="Times New Roman" w:hAnsi="Times New Roman"/>
                <w:sz w:val="24"/>
                <w:szCs w:val="24"/>
              </w:rPr>
              <w:t>išgyvenamumo</w:t>
            </w:r>
            <w:proofErr w:type="spellEnd"/>
            <w:r w:rsidR="00B037C6" w:rsidRPr="002156F0">
              <w:rPr>
                <w:rFonts w:ascii="Times New Roman" w:hAnsi="Times New Roman"/>
                <w:sz w:val="24"/>
                <w:szCs w:val="24"/>
              </w:rPr>
              <w:t xml:space="preserve"> pokyčiai. Bus vykdomi epidemiologiniai tyrimai siekiant įvertinti sergamumo, mirtingumo ir </w:t>
            </w:r>
            <w:proofErr w:type="spellStart"/>
            <w:r w:rsidR="00B037C6" w:rsidRPr="002156F0">
              <w:rPr>
                <w:rFonts w:ascii="Times New Roman" w:hAnsi="Times New Roman"/>
                <w:sz w:val="24"/>
                <w:szCs w:val="24"/>
              </w:rPr>
              <w:t>išgyvenamumo</w:t>
            </w:r>
            <w:proofErr w:type="spellEnd"/>
            <w:r w:rsidR="00B037C6" w:rsidRPr="002156F0">
              <w:rPr>
                <w:rFonts w:ascii="Times New Roman" w:hAnsi="Times New Roman"/>
                <w:sz w:val="24"/>
                <w:szCs w:val="24"/>
              </w:rPr>
              <w:t xml:space="preserve"> pokyčius, bei nustatyti įvairių veiksnių įtaką jų kitimui. Onkologinės situacijos stebėsena yra svarbi plėtojant ir įgyvendinant šalies sveikatos politiką</w:t>
            </w:r>
            <w:r w:rsidR="00CD16FC" w:rsidRPr="002156F0">
              <w:rPr>
                <w:rFonts w:ascii="Times New Roman" w:hAnsi="Times New Roman"/>
                <w:sz w:val="24"/>
                <w:szCs w:val="24"/>
              </w:rPr>
              <w:t xml:space="preserve">, </w:t>
            </w:r>
            <w:r w:rsidR="00B037C6" w:rsidRPr="002156F0">
              <w:rPr>
                <w:rFonts w:ascii="Times New Roman" w:hAnsi="Times New Roman"/>
                <w:sz w:val="24"/>
                <w:szCs w:val="24"/>
              </w:rPr>
              <w:t>numat</w:t>
            </w:r>
            <w:r w:rsidR="00CD16FC" w:rsidRPr="002156F0">
              <w:rPr>
                <w:rFonts w:ascii="Times New Roman" w:hAnsi="Times New Roman"/>
                <w:sz w:val="24"/>
                <w:szCs w:val="24"/>
              </w:rPr>
              <w:t>ant</w:t>
            </w:r>
            <w:r w:rsidR="005A17C2" w:rsidRPr="002156F0">
              <w:rPr>
                <w:rFonts w:ascii="Times New Roman" w:hAnsi="Times New Roman"/>
                <w:sz w:val="24"/>
                <w:szCs w:val="24"/>
              </w:rPr>
              <w:t xml:space="preserve"> </w:t>
            </w:r>
            <w:r w:rsidR="00CD16FC" w:rsidRPr="002156F0">
              <w:rPr>
                <w:rFonts w:ascii="Times New Roman" w:hAnsi="Times New Roman"/>
                <w:sz w:val="24"/>
                <w:szCs w:val="24"/>
              </w:rPr>
              <w:t xml:space="preserve">vėžio </w:t>
            </w:r>
            <w:r w:rsidR="00B037C6" w:rsidRPr="002156F0">
              <w:rPr>
                <w:rFonts w:ascii="Times New Roman" w:hAnsi="Times New Roman"/>
                <w:sz w:val="24"/>
                <w:szCs w:val="24"/>
              </w:rPr>
              <w:t>profilaktikos ir gydymo program</w:t>
            </w:r>
            <w:r w:rsidR="00CD16FC" w:rsidRPr="002156F0">
              <w:rPr>
                <w:rFonts w:ascii="Times New Roman" w:hAnsi="Times New Roman"/>
                <w:sz w:val="24"/>
                <w:szCs w:val="24"/>
              </w:rPr>
              <w:t xml:space="preserve">ų prioritetus. Vykdant šią priemonę </w:t>
            </w:r>
            <w:r w:rsidR="00B037C6" w:rsidRPr="002156F0">
              <w:rPr>
                <w:rFonts w:ascii="Times New Roman" w:hAnsi="Times New Roman"/>
                <w:sz w:val="24"/>
                <w:szCs w:val="24"/>
              </w:rPr>
              <w:t xml:space="preserve">bus analizuojami ilgalaikiai sergamumo įvairių lokalizacijų vėžiu ir mirtingumo, bei </w:t>
            </w:r>
            <w:proofErr w:type="spellStart"/>
            <w:r w:rsidR="00B037C6" w:rsidRPr="002156F0">
              <w:rPr>
                <w:rFonts w:ascii="Times New Roman" w:hAnsi="Times New Roman"/>
                <w:sz w:val="24"/>
                <w:szCs w:val="24"/>
              </w:rPr>
              <w:t>išgyvenamumo</w:t>
            </w:r>
            <w:proofErr w:type="spellEnd"/>
            <w:r w:rsidR="00B037C6" w:rsidRPr="002156F0">
              <w:rPr>
                <w:rFonts w:ascii="Times New Roman" w:hAnsi="Times New Roman"/>
                <w:sz w:val="24"/>
                <w:szCs w:val="24"/>
              </w:rPr>
              <w:t xml:space="preserve"> pokyčiai</w:t>
            </w:r>
            <w:r w:rsidR="00CD16FC" w:rsidRPr="002156F0">
              <w:rPr>
                <w:rFonts w:ascii="Times New Roman" w:hAnsi="Times New Roman"/>
                <w:sz w:val="24"/>
                <w:szCs w:val="24"/>
              </w:rPr>
              <w:t xml:space="preserve">. Konkrečiame tyrimų etape ypatingas dėmesys bus skiriamas inkstų, </w:t>
            </w:r>
            <w:r w:rsidR="00A355E5" w:rsidRPr="002156F0">
              <w:rPr>
                <w:rFonts w:ascii="Times New Roman" w:hAnsi="Times New Roman"/>
                <w:sz w:val="24"/>
                <w:szCs w:val="24"/>
              </w:rPr>
              <w:t xml:space="preserve">prostatos, </w:t>
            </w:r>
            <w:r w:rsidR="00CD16FC" w:rsidRPr="002156F0">
              <w:rPr>
                <w:rFonts w:ascii="Times New Roman" w:hAnsi="Times New Roman"/>
                <w:sz w:val="24"/>
                <w:szCs w:val="24"/>
              </w:rPr>
              <w:t>krūties</w:t>
            </w:r>
            <w:r w:rsidR="00A355E5" w:rsidRPr="002156F0">
              <w:rPr>
                <w:rFonts w:ascii="Times New Roman" w:hAnsi="Times New Roman"/>
                <w:sz w:val="24"/>
                <w:szCs w:val="24"/>
              </w:rPr>
              <w:t xml:space="preserve">, plaučių ir skrandžio </w:t>
            </w:r>
            <w:r w:rsidR="00CD16FC" w:rsidRPr="002156F0">
              <w:rPr>
                <w:rFonts w:ascii="Times New Roman" w:hAnsi="Times New Roman"/>
                <w:sz w:val="24"/>
                <w:szCs w:val="24"/>
              </w:rPr>
              <w:t>vėžiui</w:t>
            </w:r>
            <w:r w:rsidR="00B037C6" w:rsidRPr="002156F0">
              <w:rPr>
                <w:rFonts w:ascii="Times New Roman" w:hAnsi="Times New Roman"/>
                <w:sz w:val="24"/>
                <w:szCs w:val="24"/>
              </w:rPr>
              <w:t>. Mokslinė šių duomenų analizė lei</w:t>
            </w:r>
            <w:r w:rsidR="00CD16FC" w:rsidRPr="002156F0">
              <w:rPr>
                <w:rFonts w:ascii="Times New Roman" w:hAnsi="Times New Roman"/>
                <w:sz w:val="24"/>
                <w:szCs w:val="24"/>
              </w:rPr>
              <w:t>s</w:t>
            </w:r>
            <w:r w:rsidR="00B037C6" w:rsidRPr="002156F0">
              <w:rPr>
                <w:rFonts w:ascii="Times New Roman" w:hAnsi="Times New Roman"/>
                <w:sz w:val="24"/>
                <w:szCs w:val="24"/>
              </w:rPr>
              <w:t xml:space="preserve"> identifikuoti šaliai būdinga</w:t>
            </w:r>
            <w:r w:rsidR="00CD16FC" w:rsidRPr="002156F0">
              <w:rPr>
                <w:rFonts w:ascii="Times New Roman" w:hAnsi="Times New Roman"/>
                <w:sz w:val="24"/>
                <w:szCs w:val="24"/>
              </w:rPr>
              <w:t>s sergamumo</w:t>
            </w:r>
            <w:r w:rsidR="00B037C6" w:rsidRPr="002156F0">
              <w:rPr>
                <w:rFonts w:ascii="Times New Roman" w:hAnsi="Times New Roman"/>
                <w:sz w:val="24"/>
                <w:szCs w:val="24"/>
              </w:rPr>
              <w:t xml:space="preserve"> problemas</w:t>
            </w:r>
            <w:r w:rsidR="00CD16FC" w:rsidRPr="002156F0">
              <w:rPr>
                <w:rFonts w:ascii="Times New Roman" w:hAnsi="Times New Roman"/>
                <w:sz w:val="24"/>
                <w:szCs w:val="24"/>
              </w:rPr>
              <w:t xml:space="preserve">, pasiūlyti sprendimo būdus. </w:t>
            </w:r>
            <w:r w:rsidR="00B037C6" w:rsidRPr="002156F0">
              <w:rPr>
                <w:rFonts w:ascii="Times New Roman" w:hAnsi="Times New Roman"/>
                <w:sz w:val="24"/>
                <w:szCs w:val="24"/>
              </w:rPr>
              <w:t xml:space="preserve">Taikant šiuolaikinius epidemiologinių tyrimų metodus bus įvertinti atrankinės patikros programose dalyvavusių ir nedalyvavusių asmenų sergamumo struktūros skirtumai ir pokyčiai, įtaka </w:t>
            </w:r>
            <w:proofErr w:type="spellStart"/>
            <w:r w:rsidR="00B037C6" w:rsidRPr="002156F0">
              <w:rPr>
                <w:rFonts w:ascii="Times New Roman" w:hAnsi="Times New Roman"/>
                <w:sz w:val="24"/>
                <w:szCs w:val="24"/>
              </w:rPr>
              <w:t>išgyvenamumui</w:t>
            </w:r>
            <w:proofErr w:type="spellEnd"/>
            <w:r w:rsidR="00B037C6" w:rsidRPr="002156F0">
              <w:rPr>
                <w:rFonts w:ascii="Times New Roman" w:hAnsi="Times New Roman"/>
                <w:sz w:val="24"/>
                <w:szCs w:val="24"/>
              </w:rPr>
              <w:t xml:space="preserve">, bei šių tyrimų pagrindu </w:t>
            </w:r>
            <w:r w:rsidR="00CD16FC" w:rsidRPr="002156F0">
              <w:rPr>
                <w:rFonts w:ascii="Times New Roman" w:hAnsi="Times New Roman"/>
                <w:sz w:val="24"/>
                <w:szCs w:val="24"/>
              </w:rPr>
              <w:t xml:space="preserve">bus rengiamos mokslinės </w:t>
            </w:r>
            <w:r w:rsidR="00B037C6" w:rsidRPr="002156F0">
              <w:rPr>
                <w:rFonts w:ascii="Times New Roman" w:hAnsi="Times New Roman"/>
                <w:sz w:val="24"/>
                <w:szCs w:val="24"/>
              </w:rPr>
              <w:t>rekomendacijos šalyje vykdomoms patikros programoms tobulinti.</w:t>
            </w:r>
            <w:r w:rsidR="00D91333" w:rsidRPr="002156F0">
              <w:rPr>
                <w:rFonts w:ascii="Times New Roman" w:hAnsi="Times New Roman"/>
                <w:sz w:val="24"/>
                <w:szCs w:val="24"/>
              </w:rPr>
              <w:t xml:space="preserve"> </w:t>
            </w:r>
            <w:r w:rsidR="00CD16FC" w:rsidRPr="002156F0">
              <w:rPr>
                <w:rFonts w:ascii="Times New Roman" w:hAnsi="Times New Roman"/>
                <w:sz w:val="24"/>
                <w:szCs w:val="24"/>
              </w:rPr>
              <w:t xml:space="preserve">Konkrečiame tyrimų etape </w:t>
            </w:r>
            <w:r w:rsidR="00653CE8" w:rsidRPr="002156F0">
              <w:rPr>
                <w:rFonts w:ascii="Times New Roman" w:hAnsi="Times New Roman"/>
                <w:sz w:val="24"/>
                <w:szCs w:val="24"/>
              </w:rPr>
              <w:t>moksliniais metodais bus įvertinti prostatos ir krūties vėžio atrankinės patikros programų rezultatai.</w:t>
            </w:r>
          </w:p>
          <w:p w14:paraId="73296343" w14:textId="77777777" w:rsidR="00B037C6" w:rsidRPr="002156F0" w:rsidRDefault="008106BA" w:rsidP="002156F0">
            <w:pPr>
              <w:pStyle w:val="Betarp"/>
              <w:jc w:val="both"/>
              <w:rPr>
                <w:rFonts w:ascii="Times New Roman" w:hAnsi="Times New Roman"/>
                <w:sz w:val="24"/>
                <w:szCs w:val="24"/>
              </w:rPr>
            </w:pPr>
            <w:r>
              <w:rPr>
                <w:rFonts w:ascii="Times New Roman" w:hAnsi="Times New Roman"/>
                <w:sz w:val="24"/>
                <w:szCs w:val="24"/>
              </w:rPr>
              <w:t xml:space="preserve">    </w:t>
            </w:r>
            <w:r w:rsidR="00171334" w:rsidRPr="002156F0">
              <w:rPr>
                <w:rFonts w:ascii="Times New Roman" w:hAnsi="Times New Roman"/>
                <w:sz w:val="24"/>
                <w:szCs w:val="24"/>
              </w:rPr>
              <w:t>5.</w:t>
            </w:r>
            <w:r w:rsidR="00B037C6" w:rsidRPr="002156F0">
              <w:rPr>
                <w:rFonts w:ascii="Times New Roman" w:hAnsi="Times New Roman"/>
                <w:sz w:val="24"/>
                <w:szCs w:val="24"/>
              </w:rPr>
              <w:t>3</w:t>
            </w:r>
            <w:r w:rsidR="00171334" w:rsidRPr="002156F0">
              <w:rPr>
                <w:rFonts w:ascii="Times New Roman" w:hAnsi="Times New Roman"/>
                <w:sz w:val="24"/>
                <w:szCs w:val="24"/>
              </w:rPr>
              <w:t>.</w:t>
            </w:r>
            <w:r w:rsidR="00B037C6" w:rsidRPr="002156F0">
              <w:rPr>
                <w:rFonts w:ascii="Times New Roman" w:hAnsi="Times New Roman"/>
                <w:sz w:val="24"/>
                <w:szCs w:val="24"/>
              </w:rPr>
              <w:t xml:space="preserve"> Socialinių-ekonominių sergamumo, mirtingumo ir </w:t>
            </w:r>
            <w:proofErr w:type="spellStart"/>
            <w:r w:rsidR="00B037C6" w:rsidRPr="002156F0">
              <w:rPr>
                <w:rFonts w:ascii="Times New Roman" w:hAnsi="Times New Roman"/>
                <w:sz w:val="24"/>
                <w:szCs w:val="24"/>
              </w:rPr>
              <w:t>išgyvenamumo</w:t>
            </w:r>
            <w:proofErr w:type="spellEnd"/>
            <w:r w:rsidR="00B037C6" w:rsidRPr="002156F0">
              <w:rPr>
                <w:rFonts w:ascii="Times New Roman" w:hAnsi="Times New Roman"/>
                <w:sz w:val="24"/>
                <w:szCs w:val="24"/>
              </w:rPr>
              <w:t xml:space="preserve"> netolygumų tyrimai.</w:t>
            </w:r>
            <w:r w:rsidR="00D91333" w:rsidRPr="002156F0">
              <w:rPr>
                <w:rFonts w:ascii="Times New Roman" w:hAnsi="Times New Roman"/>
                <w:sz w:val="24"/>
                <w:szCs w:val="24"/>
              </w:rPr>
              <w:t xml:space="preserve"> </w:t>
            </w:r>
            <w:r w:rsidR="00B037C6" w:rsidRPr="002156F0">
              <w:rPr>
                <w:rFonts w:ascii="Times New Roman" w:hAnsi="Times New Roman"/>
                <w:sz w:val="24"/>
                <w:szCs w:val="24"/>
              </w:rPr>
              <w:lastRenderedPageBreak/>
              <w:t xml:space="preserve">PSO programoje SVEIKATA 2020 Europos sveikatos politikos gairėse kaip vieną iš pagrindinių programos tikslų įvardija sveikatos netolygumų mažinimą. Mažinant netolygumus galima pagerinti bendrą šalies gyventojų sveikatos būklę. Sveikatos netolygumai moksliniuose tyrimuose yra vertinami naudojant įvairias socialines, ekonomines charakteristikas. Bus analizuojami įvairūs </w:t>
            </w:r>
            <w:proofErr w:type="spellStart"/>
            <w:r w:rsidR="00B037C6" w:rsidRPr="002156F0">
              <w:rPr>
                <w:rFonts w:ascii="Times New Roman" w:hAnsi="Times New Roman"/>
                <w:sz w:val="24"/>
                <w:szCs w:val="24"/>
              </w:rPr>
              <w:t>socioekonominiai</w:t>
            </w:r>
            <w:proofErr w:type="spellEnd"/>
            <w:r w:rsidR="00B037C6" w:rsidRPr="002156F0">
              <w:rPr>
                <w:rFonts w:ascii="Times New Roman" w:hAnsi="Times New Roman"/>
                <w:sz w:val="24"/>
                <w:szCs w:val="24"/>
              </w:rPr>
              <w:t xml:space="preserve"> veiksniai siekiant išskirti didesnės rizikos grupes tarp šalies gyventojų, kas sudarytų prielaidas kryptingų sveikatos politikos priemonių planavimui. Planuojami vykdyti sergamumo, mirtingumo ir </w:t>
            </w:r>
            <w:proofErr w:type="spellStart"/>
            <w:r w:rsidR="00B037C6" w:rsidRPr="002156F0">
              <w:rPr>
                <w:rFonts w:ascii="Times New Roman" w:hAnsi="Times New Roman"/>
                <w:sz w:val="24"/>
                <w:szCs w:val="24"/>
              </w:rPr>
              <w:t>išgyvenamumo</w:t>
            </w:r>
            <w:proofErr w:type="spellEnd"/>
            <w:r w:rsidR="00B037C6" w:rsidRPr="002156F0">
              <w:rPr>
                <w:rFonts w:ascii="Times New Roman" w:hAnsi="Times New Roman"/>
                <w:sz w:val="24"/>
                <w:szCs w:val="24"/>
              </w:rPr>
              <w:t xml:space="preserve"> netolygumų tyrimai pagal įvairius socialinius, ekonominius veiksnius leis identifikuoti didesnės rizikos gyventojų grupes, kas sudarys prielaidas kryptingai planuoti sveikatos politikos priemones.</w:t>
            </w:r>
            <w:r w:rsidR="00D91333" w:rsidRPr="002156F0">
              <w:rPr>
                <w:rFonts w:ascii="Times New Roman" w:hAnsi="Times New Roman"/>
                <w:sz w:val="24"/>
                <w:szCs w:val="24"/>
              </w:rPr>
              <w:t xml:space="preserve"> </w:t>
            </w:r>
            <w:r w:rsidR="00A355E5" w:rsidRPr="002156F0">
              <w:rPr>
                <w:rFonts w:ascii="Times New Roman" w:hAnsi="Times New Roman"/>
                <w:sz w:val="24"/>
                <w:szCs w:val="24"/>
              </w:rPr>
              <w:t xml:space="preserve">Konkrečiame tyrimų etape bus įvertinta išsilavinimo, gyvenamosios vietos (miestas/kaimas) įtaka </w:t>
            </w:r>
            <w:r w:rsidR="00DE0CF1" w:rsidRPr="002156F0">
              <w:rPr>
                <w:rFonts w:ascii="Times New Roman" w:hAnsi="Times New Roman"/>
                <w:sz w:val="24"/>
                <w:szCs w:val="24"/>
              </w:rPr>
              <w:t xml:space="preserve">mirtingumo ir </w:t>
            </w:r>
            <w:r w:rsidR="00A355E5" w:rsidRPr="002156F0">
              <w:rPr>
                <w:rFonts w:ascii="Times New Roman" w:hAnsi="Times New Roman"/>
                <w:sz w:val="24"/>
                <w:szCs w:val="24"/>
              </w:rPr>
              <w:t xml:space="preserve">sergamumo prostatos, krūties, skydliaukės vėžiu rizikai, bei šių veiksnių įtaka susirgusiųjų </w:t>
            </w:r>
            <w:proofErr w:type="spellStart"/>
            <w:r w:rsidR="00A355E5" w:rsidRPr="002156F0">
              <w:rPr>
                <w:rFonts w:ascii="Times New Roman" w:hAnsi="Times New Roman"/>
                <w:sz w:val="24"/>
                <w:szCs w:val="24"/>
              </w:rPr>
              <w:t>išgyvenamumui</w:t>
            </w:r>
            <w:proofErr w:type="spellEnd"/>
            <w:r w:rsidR="00A355E5" w:rsidRPr="002156F0">
              <w:rPr>
                <w:rFonts w:ascii="Times New Roman" w:hAnsi="Times New Roman"/>
                <w:sz w:val="24"/>
                <w:szCs w:val="24"/>
              </w:rPr>
              <w:t>.</w:t>
            </w:r>
          </w:p>
          <w:p w14:paraId="73296344" w14:textId="77777777" w:rsidR="00B037C6" w:rsidRPr="002156F0" w:rsidRDefault="00B037C6" w:rsidP="002156F0">
            <w:pPr>
              <w:pStyle w:val="Betarp"/>
              <w:jc w:val="both"/>
              <w:rPr>
                <w:rFonts w:ascii="Times New Roman" w:hAnsi="Times New Roman"/>
                <w:sz w:val="24"/>
                <w:szCs w:val="24"/>
              </w:rPr>
            </w:pPr>
            <w:r w:rsidRPr="002156F0">
              <w:rPr>
                <w:rFonts w:ascii="Times New Roman" w:hAnsi="Times New Roman"/>
                <w:sz w:val="24"/>
                <w:szCs w:val="24"/>
              </w:rPr>
              <w:t xml:space="preserve">Programos uždaviniai ir apimtys norminiais etatais bei lėšomis (tūkst. </w:t>
            </w:r>
            <w:proofErr w:type="spellStart"/>
            <w:r w:rsidRPr="002156F0">
              <w:rPr>
                <w:rFonts w:ascii="Times New Roman" w:hAnsi="Times New Roman"/>
                <w:sz w:val="24"/>
                <w:szCs w:val="24"/>
              </w:rPr>
              <w:t>Eur</w:t>
            </w:r>
            <w:proofErr w:type="spellEnd"/>
            <w:r w:rsidRPr="002156F0">
              <w:rPr>
                <w:rFonts w:ascii="Times New Roman" w:hAnsi="Times New Roman"/>
                <w:sz w:val="24"/>
                <w:szCs w:val="24"/>
              </w:rPr>
              <w:t>)</w:t>
            </w:r>
          </w:p>
          <w:tbl>
            <w:tblPr>
              <w:tblStyle w:val="Lentelstinklelis"/>
              <w:tblW w:w="9522" w:type="dxa"/>
              <w:tblLook w:val="04A0" w:firstRow="1" w:lastRow="0" w:firstColumn="1" w:lastColumn="0" w:noHBand="0" w:noVBand="1"/>
            </w:tblPr>
            <w:tblGrid>
              <w:gridCol w:w="3129"/>
              <w:gridCol w:w="1003"/>
              <w:gridCol w:w="1132"/>
              <w:gridCol w:w="1132"/>
              <w:gridCol w:w="1003"/>
              <w:gridCol w:w="1132"/>
              <w:gridCol w:w="991"/>
            </w:tblGrid>
            <w:tr w:rsidR="00B037C6" w:rsidRPr="00861B98" w14:paraId="7329634C" w14:textId="77777777" w:rsidTr="005032C3">
              <w:tc>
                <w:tcPr>
                  <w:tcW w:w="3129" w:type="dxa"/>
                </w:tcPr>
                <w:p w14:paraId="73296345" w14:textId="77777777" w:rsidR="00B037C6" w:rsidRPr="00A84855" w:rsidRDefault="00B037C6" w:rsidP="002C7813">
                  <w:pPr>
                    <w:jc w:val="both"/>
                    <w:rPr>
                      <w:rFonts w:ascii="Times New Roman" w:eastAsia="Times New Roman" w:hAnsi="Times New Roman" w:cs="Times New Roman"/>
                      <w:lang w:eastAsia="lt-LT"/>
                    </w:rPr>
                  </w:pPr>
                </w:p>
              </w:tc>
              <w:tc>
                <w:tcPr>
                  <w:tcW w:w="1003" w:type="dxa"/>
                </w:tcPr>
                <w:p w14:paraId="73296346" w14:textId="77777777" w:rsidR="00B037C6" w:rsidRPr="00A84855" w:rsidRDefault="00DA3BC5" w:rsidP="002C781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2017</w:t>
                  </w:r>
                  <w:r w:rsidR="008106BA" w:rsidRPr="00A84855">
                    <w:rPr>
                      <w:rFonts w:ascii="Times New Roman" w:eastAsia="Times New Roman" w:hAnsi="Times New Roman" w:cs="Times New Roman"/>
                      <w:lang w:eastAsia="lt-LT"/>
                    </w:rPr>
                    <w:t xml:space="preserve"> metai</w:t>
                  </w:r>
                </w:p>
              </w:tc>
              <w:tc>
                <w:tcPr>
                  <w:tcW w:w="1132" w:type="dxa"/>
                </w:tcPr>
                <w:p w14:paraId="73296347" w14:textId="77777777" w:rsidR="00B037C6" w:rsidRPr="00A84855" w:rsidRDefault="00DA3BC5" w:rsidP="002C781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2018</w:t>
                  </w:r>
                  <w:r w:rsidR="008106BA" w:rsidRPr="00A84855">
                    <w:rPr>
                      <w:rFonts w:ascii="Times New Roman" w:eastAsia="Times New Roman" w:hAnsi="Times New Roman" w:cs="Times New Roman"/>
                      <w:lang w:eastAsia="lt-LT"/>
                    </w:rPr>
                    <w:t xml:space="preserve"> metai</w:t>
                  </w:r>
                </w:p>
              </w:tc>
              <w:tc>
                <w:tcPr>
                  <w:tcW w:w="1132" w:type="dxa"/>
                </w:tcPr>
                <w:p w14:paraId="73296348" w14:textId="77777777" w:rsidR="00B037C6" w:rsidRPr="00A84855" w:rsidRDefault="00DA3BC5" w:rsidP="002C781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2019</w:t>
                  </w:r>
                  <w:r w:rsidR="008106BA" w:rsidRPr="00A84855">
                    <w:rPr>
                      <w:rFonts w:ascii="Times New Roman" w:eastAsia="Times New Roman" w:hAnsi="Times New Roman" w:cs="Times New Roman"/>
                      <w:lang w:eastAsia="lt-LT"/>
                    </w:rPr>
                    <w:t xml:space="preserve"> metai</w:t>
                  </w:r>
                </w:p>
              </w:tc>
              <w:tc>
                <w:tcPr>
                  <w:tcW w:w="1003" w:type="dxa"/>
                </w:tcPr>
                <w:p w14:paraId="73296349" w14:textId="77777777" w:rsidR="00B037C6" w:rsidRPr="00A84855" w:rsidRDefault="00DA3BC5" w:rsidP="002C781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2020</w:t>
                  </w:r>
                  <w:r w:rsidR="008106BA" w:rsidRPr="00A84855">
                    <w:rPr>
                      <w:rFonts w:ascii="Times New Roman" w:eastAsia="Times New Roman" w:hAnsi="Times New Roman" w:cs="Times New Roman"/>
                      <w:lang w:eastAsia="lt-LT"/>
                    </w:rPr>
                    <w:t xml:space="preserve"> metai</w:t>
                  </w:r>
                </w:p>
              </w:tc>
              <w:tc>
                <w:tcPr>
                  <w:tcW w:w="1132" w:type="dxa"/>
                </w:tcPr>
                <w:p w14:paraId="7329634A" w14:textId="77777777" w:rsidR="00B037C6" w:rsidRPr="00A84855" w:rsidRDefault="00DA3BC5" w:rsidP="002C781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2021</w:t>
                  </w:r>
                  <w:r w:rsidR="008106BA" w:rsidRPr="00A84855">
                    <w:rPr>
                      <w:rFonts w:ascii="Times New Roman" w:eastAsia="Times New Roman" w:hAnsi="Times New Roman" w:cs="Times New Roman"/>
                      <w:lang w:eastAsia="lt-LT"/>
                    </w:rPr>
                    <w:t xml:space="preserve"> metai</w:t>
                  </w:r>
                </w:p>
              </w:tc>
              <w:tc>
                <w:tcPr>
                  <w:tcW w:w="991" w:type="dxa"/>
                </w:tcPr>
                <w:p w14:paraId="7329634B" w14:textId="77777777" w:rsidR="00B037C6" w:rsidRPr="00A84855" w:rsidRDefault="00B037C6" w:rsidP="002C781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Iš viso</w:t>
                  </w:r>
                </w:p>
              </w:tc>
            </w:tr>
            <w:tr w:rsidR="00B037C6" w:rsidRPr="00861B98" w14:paraId="7329634E" w14:textId="77777777" w:rsidTr="002C7813">
              <w:tc>
                <w:tcPr>
                  <w:tcW w:w="9522" w:type="dxa"/>
                  <w:gridSpan w:val="7"/>
                </w:tcPr>
                <w:p w14:paraId="7329634D" w14:textId="77777777" w:rsidR="00B037C6" w:rsidRPr="00A84855" w:rsidRDefault="000B6A46" w:rsidP="000B6A46">
                  <w:pPr>
                    <w:jc w:val="center"/>
                    <w:rPr>
                      <w:rFonts w:ascii="Times New Roman" w:eastAsia="Times New Roman" w:hAnsi="Times New Roman" w:cs="Times New Roman"/>
                      <w:lang w:eastAsia="lt-LT"/>
                    </w:rPr>
                  </w:pPr>
                  <w:r w:rsidRPr="00A84855">
                    <w:rPr>
                      <w:rFonts w:ascii="Times New Roman" w:hAnsi="Times New Roman" w:cs="Times New Roman"/>
                    </w:rPr>
                    <w:t>Rizikos veiksnių tyrimai</w:t>
                  </w:r>
                </w:p>
              </w:tc>
            </w:tr>
            <w:tr w:rsidR="005032C3" w:rsidRPr="00861B98" w14:paraId="73296359" w14:textId="77777777" w:rsidTr="005032C3">
              <w:tc>
                <w:tcPr>
                  <w:tcW w:w="3129" w:type="dxa"/>
                </w:tcPr>
                <w:p w14:paraId="7329634F" w14:textId="77777777" w:rsidR="005032C3" w:rsidRPr="00A84855" w:rsidRDefault="005032C3" w:rsidP="005032C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Programai skirti norminiai etatai/lėšos</w:t>
                  </w:r>
                </w:p>
              </w:tc>
              <w:tc>
                <w:tcPr>
                  <w:tcW w:w="1003" w:type="dxa"/>
                </w:tcPr>
                <w:p w14:paraId="73296350" w14:textId="77777777" w:rsidR="005032C3" w:rsidRPr="00A84855" w:rsidRDefault="005032C3" w:rsidP="0002412C">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2,2/ 20,9</w:t>
                  </w:r>
                </w:p>
              </w:tc>
              <w:tc>
                <w:tcPr>
                  <w:tcW w:w="1132" w:type="dxa"/>
                </w:tcPr>
                <w:p w14:paraId="73296351" w14:textId="77777777" w:rsidR="0002412C" w:rsidRPr="00A84855" w:rsidRDefault="005032C3" w:rsidP="0002412C">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2,2/</w:t>
                  </w:r>
                </w:p>
                <w:p w14:paraId="73296352" w14:textId="77777777" w:rsidR="005032C3" w:rsidRPr="00A84855" w:rsidRDefault="005032C3" w:rsidP="0002412C">
                  <w:pPr>
                    <w:spacing w:after="0" w:line="240" w:lineRule="auto"/>
                    <w:jc w:val="center"/>
                    <w:rPr>
                      <w:rFonts w:ascii="Times New Roman" w:hAnsi="Times New Roman" w:cs="Times New Roman"/>
                    </w:rPr>
                  </w:pPr>
                  <w:r w:rsidRPr="00A84855">
                    <w:rPr>
                      <w:rFonts w:ascii="Times New Roman" w:eastAsia="Times New Roman" w:hAnsi="Times New Roman" w:cs="Times New Roman"/>
                      <w:lang w:eastAsia="lt-LT"/>
                    </w:rPr>
                    <w:t>20,9</w:t>
                  </w:r>
                </w:p>
              </w:tc>
              <w:tc>
                <w:tcPr>
                  <w:tcW w:w="1132" w:type="dxa"/>
                </w:tcPr>
                <w:p w14:paraId="73296353" w14:textId="77777777" w:rsidR="0002412C" w:rsidRPr="00A84855" w:rsidRDefault="005032C3" w:rsidP="0002412C">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2,2/</w:t>
                  </w:r>
                </w:p>
                <w:p w14:paraId="73296354" w14:textId="77777777" w:rsidR="005032C3" w:rsidRPr="00A84855" w:rsidRDefault="005032C3" w:rsidP="0002412C">
                  <w:pPr>
                    <w:spacing w:after="0" w:line="240" w:lineRule="auto"/>
                    <w:jc w:val="center"/>
                    <w:rPr>
                      <w:rFonts w:ascii="Times New Roman" w:hAnsi="Times New Roman" w:cs="Times New Roman"/>
                    </w:rPr>
                  </w:pPr>
                  <w:r w:rsidRPr="00A84855">
                    <w:rPr>
                      <w:rFonts w:ascii="Times New Roman" w:eastAsia="Times New Roman" w:hAnsi="Times New Roman" w:cs="Times New Roman"/>
                      <w:lang w:eastAsia="lt-LT"/>
                    </w:rPr>
                    <w:t>20,9</w:t>
                  </w:r>
                </w:p>
              </w:tc>
              <w:tc>
                <w:tcPr>
                  <w:tcW w:w="1003" w:type="dxa"/>
                </w:tcPr>
                <w:p w14:paraId="73296355" w14:textId="77777777" w:rsidR="005032C3" w:rsidRPr="00A84855" w:rsidRDefault="005032C3" w:rsidP="0002412C">
                  <w:pPr>
                    <w:spacing w:after="0" w:line="240" w:lineRule="auto"/>
                    <w:jc w:val="center"/>
                    <w:rPr>
                      <w:rFonts w:ascii="Times New Roman" w:hAnsi="Times New Roman" w:cs="Times New Roman"/>
                    </w:rPr>
                  </w:pPr>
                  <w:r w:rsidRPr="00A84855">
                    <w:rPr>
                      <w:rFonts w:ascii="Times New Roman" w:eastAsia="Times New Roman" w:hAnsi="Times New Roman" w:cs="Times New Roman"/>
                      <w:lang w:eastAsia="lt-LT"/>
                    </w:rPr>
                    <w:t>2,2/ 20,9</w:t>
                  </w:r>
                </w:p>
              </w:tc>
              <w:tc>
                <w:tcPr>
                  <w:tcW w:w="1132" w:type="dxa"/>
                </w:tcPr>
                <w:p w14:paraId="73296356" w14:textId="77777777" w:rsidR="0002412C" w:rsidRPr="00A84855" w:rsidRDefault="005032C3" w:rsidP="0002412C">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2,2/</w:t>
                  </w:r>
                </w:p>
                <w:p w14:paraId="73296357" w14:textId="77777777" w:rsidR="005032C3" w:rsidRPr="00A84855" w:rsidRDefault="005032C3" w:rsidP="0002412C">
                  <w:pPr>
                    <w:spacing w:after="0" w:line="240" w:lineRule="auto"/>
                    <w:jc w:val="center"/>
                    <w:rPr>
                      <w:rFonts w:ascii="Times New Roman" w:hAnsi="Times New Roman" w:cs="Times New Roman"/>
                    </w:rPr>
                  </w:pPr>
                  <w:r w:rsidRPr="00A84855">
                    <w:rPr>
                      <w:rFonts w:ascii="Times New Roman" w:eastAsia="Times New Roman" w:hAnsi="Times New Roman" w:cs="Times New Roman"/>
                      <w:lang w:eastAsia="lt-LT"/>
                    </w:rPr>
                    <w:t>20,9</w:t>
                  </w:r>
                </w:p>
              </w:tc>
              <w:tc>
                <w:tcPr>
                  <w:tcW w:w="991" w:type="dxa"/>
                </w:tcPr>
                <w:p w14:paraId="73296358" w14:textId="77777777" w:rsidR="005032C3" w:rsidRPr="00A84855" w:rsidRDefault="005032C3" w:rsidP="005032C3">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104,5</w:t>
                  </w:r>
                </w:p>
              </w:tc>
            </w:tr>
            <w:tr w:rsidR="00D45D26" w:rsidRPr="00861B98" w14:paraId="73296361" w14:textId="77777777" w:rsidTr="005032C3">
              <w:tc>
                <w:tcPr>
                  <w:tcW w:w="3129" w:type="dxa"/>
                </w:tcPr>
                <w:p w14:paraId="7329635A" w14:textId="77777777" w:rsidR="00D45D26" w:rsidRPr="00A84855" w:rsidRDefault="00D45D26" w:rsidP="00D45D26">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Kitos lėšos planuojamos programai</w:t>
                  </w:r>
                </w:p>
              </w:tc>
              <w:tc>
                <w:tcPr>
                  <w:tcW w:w="1003" w:type="dxa"/>
                </w:tcPr>
                <w:p w14:paraId="7329635B" w14:textId="77777777" w:rsidR="00D45D26" w:rsidRPr="00A84855" w:rsidRDefault="005032C3" w:rsidP="00D45D26">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8,5</w:t>
                  </w:r>
                </w:p>
              </w:tc>
              <w:tc>
                <w:tcPr>
                  <w:tcW w:w="1132" w:type="dxa"/>
                </w:tcPr>
                <w:p w14:paraId="7329635C" w14:textId="77777777" w:rsidR="00D45D26" w:rsidRPr="00A84855" w:rsidRDefault="005032C3" w:rsidP="00D45D26">
                  <w:pPr>
                    <w:jc w:val="center"/>
                    <w:rPr>
                      <w:rFonts w:ascii="Times New Roman" w:hAnsi="Times New Roman" w:cs="Times New Roman"/>
                    </w:rPr>
                  </w:pPr>
                  <w:r w:rsidRPr="00A84855">
                    <w:rPr>
                      <w:rFonts w:ascii="Times New Roman" w:eastAsia="Times New Roman" w:hAnsi="Times New Roman" w:cs="Times New Roman"/>
                      <w:lang w:eastAsia="lt-LT"/>
                    </w:rPr>
                    <w:t>8,5</w:t>
                  </w:r>
                </w:p>
              </w:tc>
              <w:tc>
                <w:tcPr>
                  <w:tcW w:w="1132" w:type="dxa"/>
                </w:tcPr>
                <w:p w14:paraId="7329635D" w14:textId="77777777" w:rsidR="00D45D26" w:rsidRPr="00A84855" w:rsidRDefault="005032C3" w:rsidP="00D45D26">
                  <w:pPr>
                    <w:jc w:val="center"/>
                    <w:rPr>
                      <w:rFonts w:ascii="Times New Roman" w:hAnsi="Times New Roman" w:cs="Times New Roman"/>
                    </w:rPr>
                  </w:pPr>
                  <w:r w:rsidRPr="00A84855">
                    <w:rPr>
                      <w:rFonts w:ascii="Times New Roman" w:eastAsia="Times New Roman" w:hAnsi="Times New Roman" w:cs="Times New Roman"/>
                      <w:lang w:eastAsia="lt-LT"/>
                    </w:rPr>
                    <w:t>8,5</w:t>
                  </w:r>
                </w:p>
              </w:tc>
              <w:tc>
                <w:tcPr>
                  <w:tcW w:w="1003" w:type="dxa"/>
                </w:tcPr>
                <w:p w14:paraId="7329635E" w14:textId="77777777" w:rsidR="00D45D26" w:rsidRPr="00A84855" w:rsidRDefault="005032C3" w:rsidP="00D45D26">
                  <w:pPr>
                    <w:jc w:val="center"/>
                    <w:rPr>
                      <w:rFonts w:ascii="Times New Roman" w:hAnsi="Times New Roman" w:cs="Times New Roman"/>
                    </w:rPr>
                  </w:pPr>
                  <w:r w:rsidRPr="00A84855">
                    <w:rPr>
                      <w:rFonts w:ascii="Times New Roman" w:eastAsia="Times New Roman" w:hAnsi="Times New Roman" w:cs="Times New Roman"/>
                      <w:lang w:eastAsia="lt-LT"/>
                    </w:rPr>
                    <w:t>8,5</w:t>
                  </w:r>
                </w:p>
              </w:tc>
              <w:tc>
                <w:tcPr>
                  <w:tcW w:w="1132" w:type="dxa"/>
                </w:tcPr>
                <w:p w14:paraId="7329635F" w14:textId="77777777" w:rsidR="00D45D26" w:rsidRPr="00A84855" w:rsidRDefault="005032C3" w:rsidP="00D45D26">
                  <w:pPr>
                    <w:jc w:val="center"/>
                    <w:rPr>
                      <w:rFonts w:ascii="Times New Roman" w:hAnsi="Times New Roman" w:cs="Times New Roman"/>
                    </w:rPr>
                  </w:pPr>
                  <w:r w:rsidRPr="00A84855">
                    <w:rPr>
                      <w:rFonts w:ascii="Times New Roman" w:eastAsia="Times New Roman" w:hAnsi="Times New Roman" w:cs="Times New Roman"/>
                      <w:lang w:eastAsia="lt-LT"/>
                    </w:rPr>
                    <w:t>8,5</w:t>
                  </w:r>
                </w:p>
              </w:tc>
              <w:tc>
                <w:tcPr>
                  <w:tcW w:w="991" w:type="dxa"/>
                </w:tcPr>
                <w:p w14:paraId="73296360" w14:textId="77777777" w:rsidR="00D45D26" w:rsidRPr="00A84855" w:rsidRDefault="005032C3" w:rsidP="00D45D26">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42,5</w:t>
                  </w:r>
                </w:p>
              </w:tc>
            </w:tr>
            <w:tr w:rsidR="005032C3" w:rsidRPr="00861B98" w14:paraId="73296369" w14:textId="77777777" w:rsidTr="005032C3">
              <w:tc>
                <w:tcPr>
                  <w:tcW w:w="3129" w:type="dxa"/>
                </w:tcPr>
                <w:p w14:paraId="73296362" w14:textId="77777777" w:rsidR="005032C3" w:rsidRPr="00A84855" w:rsidRDefault="005032C3" w:rsidP="005032C3">
                  <w:pPr>
                    <w:jc w:val="right"/>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Iš viso:</w:t>
                  </w:r>
                </w:p>
              </w:tc>
              <w:tc>
                <w:tcPr>
                  <w:tcW w:w="1003" w:type="dxa"/>
                </w:tcPr>
                <w:p w14:paraId="73296363" w14:textId="77777777" w:rsidR="005032C3" w:rsidRPr="00A84855" w:rsidRDefault="003F35A7" w:rsidP="005032C3">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29,4</w:t>
                  </w:r>
                </w:p>
              </w:tc>
              <w:tc>
                <w:tcPr>
                  <w:tcW w:w="1132" w:type="dxa"/>
                </w:tcPr>
                <w:p w14:paraId="73296364" w14:textId="77777777" w:rsidR="005032C3" w:rsidRPr="00A84855" w:rsidRDefault="003F35A7" w:rsidP="005032C3">
                  <w:pPr>
                    <w:jc w:val="center"/>
                    <w:rPr>
                      <w:rFonts w:ascii="Times New Roman" w:hAnsi="Times New Roman" w:cs="Times New Roman"/>
                    </w:rPr>
                  </w:pPr>
                  <w:r w:rsidRPr="00A84855">
                    <w:rPr>
                      <w:rFonts w:ascii="Times New Roman" w:eastAsia="Times New Roman" w:hAnsi="Times New Roman" w:cs="Times New Roman"/>
                      <w:lang w:eastAsia="lt-LT"/>
                    </w:rPr>
                    <w:t>29,4</w:t>
                  </w:r>
                </w:p>
              </w:tc>
              <w:tc>
                <w:tcPr>
                  <w:tcW w:w="1132" w:type="dxa"/>
                </w:tcPr>
                <w:p w14:paraId="73296365" w14:textId="77777777" w:rsidR="005032C3" w:rsidRPr="00A84855" w:rsidRDefault="005032C3" w:rsidP="003F35A7">
                  <w:pPr>
                    <w:jc w:val="center"/>
                    <w:rPr>
                      <w:rFonts w:ascii="Times New Roman" w:hAnsi="Times New Roman" w:cs="Times New Roman"/>
                    </w:rPr>
                  </w:pPr>
                  <w:r w:rsidRPr="00A84855">
                    <w:rPr>
                      <w:rFonts w:ascii="Times New Roman" w:eastAsia="Times New Roman" w:hAnsi="Times New Roman" w:cs="Times New Roman"/>
                      <w:lang w:eastAsia="lt-LT"/>
                    </w:rPr>
                    <w:t>29,</w:t>
                  </w:r>
                  <w:r w:rsidR="003F35A7" w:rsidRPr="00A84855">
                    <w:rPr>
                      <w:rFonts w:ascii="Times New Roman" w:eastAsia="Times New Roman" w:hAnsi="Times New Roman" w:cs="Times New Roman"/>
                      <w:lang w:eastAsia="lt-LT"/>
                    </w:rPr>
                    <w:t>4</w:t>
                  </w:r>
                </w:p>
              </w:tc>
              <w:tc>
                <w:tcPr>
                  <w:tcW w:w="1003" w:type="dxa"/>
                </w:tcPr>
                <w:p w14:paraId="73296366"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w:t>
                  </w:r>
                  <w:r w:rsidR="003F35A7" w:rsidRPr="00A84855">
                    <w:rPr>
                      <w:rFonts w:ascii="Times New Roman" w:eastAsia="Times New Roman" w:hAnsi="Times New Roman" w:cs="Times New Roman"/>
                      <w:lang w:eastAsia="lt-LT"/>
                    </w:rPr>
                    <w:t>9,4</w:t>
                  </w:r>
                </w:p>
              </w:tc>
              <w:tc>
                <w:tcPr>
                  <w:tcW w:w="1132" w:type="dxa"/>
                </w:tcPr>
                <w:p w14:paraId="73296367" w14:textId="77777777" w:rsidR="005032C3" w:rsidRPr="00A84855" w:rsidRDefault="003F35A7" w:rsidP="005032C3">
                  <w:pPr>
                    <w:jc w:val="center"/>
                    <w:rPr>
                      <w:rFonts w:ascii="Times New Roman" w:hAnsi="Times New Roman" w:cs="Times New Roman"/>
                    </w:rPr>
                  </w:pPr>
                  <w:r w:rsidRPr="00A84855">
                    <w:rPr>
                      <w:rFonts w:ascii="Times New Roman" w:eastAsia="Times New Roman" w:hAnsi="Times New Roman" w:cs="Times New Roman"/>
                      <w:lang w:eastAsia="lt-LT"/>
                    </w:rPr>
                    <w:t>29,4</w:t>
                  </w:r>
                </w:p>
              </w:tc>
              <w:tc>
                <w:tcPr>
                  <w:tcW w:w="991" w:type="dxa"/>
                </w:tcPr>
                <w:p w14:paraId="73296368" w14:textId="77777777" w:rsidR="005032C3" w:rsidRPr="00A84855" w:rsidRDefault="005032C3" w:rsidP="005032C3">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147,0</w:t>
                  </w:r>
                </w:p>
              </w:tc>
            </w:tr>
            <w:tr w:rsidR="00D45D26" w:rsidRPr="00861B98" w14:paraId="7329636B" w14:textId="77777777" w:rsidTr="002C7813">
              <w:tc>
                <w:tcPr>
                  <w:tcW w:w="9522" w:type="dxa"/>
                  <w:gridSpan w:val="7"/>
                </w:tcPr>
                <w:p w14:paraId="7329636A" w14:textId="77777777" w:rsidR="00D45D26" w:rsidRPr="00A84855" w:rsidRDefault="00A9672E" w:rsidP="00D45D26">
                  <w:pPr>
                    <w:jc w:val="center"/>
                    <w:rPr>
                      <w:rFonts w:ascii="Times New Roman" w:eastAsia="Times New Roman" w:hAnsi="Times New Roman" w:cs="Times New Roman"/>
                      <w:lang w:eastAsia="lt-LT"/>
                    </w:rPr>
                  </w:pPr>
                  <w:r w:rsidRPr="00A84855">
                    <w:rPr>
                      <w:rFonts w:ascii="Times New Roman" w:hAnsi="Times New Roman" w:cs="Times New Roman"/>
                    </w:rPr>
                    <w:t xml:space="preserve">Sergamumo, mirtingumo ir </w:t>
                  </w:r>
                  <w:proofErr w:type="spellStart"/>
                  <w:r w:rsidRPr="00A84855">
                    <w:rPr>
                      <w:rFonts w:ascii="Times New Roman" w:hAnsi="Times New Roman" w:cs="Times New Roman"/>
                    </w:rPr>
                    <w:t>išgyvenamumo</w:t>
                  </w:r>
                  <w:proofErr w:type="spellEnd"/>
                  <w:r w:rsidRPr="00A84855">
                    <w:rPr>
                      <w:rFonts w:ascii="Times New Roman" w:hAnsi="Times New Roman" w:cs="Times New Roman"/>
                    </w:rPr>
                    <w:t xml:space="preserve"> pokyčiai</w:t>
                  </w:r>
                </w:p>
              </w:tc>
            </w:tr>
            <w:tr w:rsidR="00D45D26" w:rsidRPr="00861B98" w14:paraId="73296373" w14:textId="77777777" w:rsidTr="005032C3">
              <w:tc>
                <w:tcPr>
                  <w:tcW w:w="3129" w:type="dxa"/>
                </w:tcPr>
                <w:p w14:paraId="7329636C" w14:textId="77777777" w:rsidR="00D45D26" w:rsidRPr="00A84855" w:rsidRDefault="00D45D26" w:rsidP="00D45D26">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Programai skirti norminiai etatai/lėšos</w:t>
                  </w:r>
                </w:p>
              </w:tc>
              <w:tc>
                <w:tcPr>
                  <w:tcW w:w="1003" w:type="dxa"/>
                </w:tcPr>
                <w:p w14:paraId="7329636D" w14:textId="77777777" w:rsidR="00D45D26" w:rsidRPr="00A84855" w:rsidRDefault="00D45D26" w:rsidP="00D45D26">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 19,2</w:t>
                  </w:r>
                </w:p>
              </w:tc>
              <w:tc>
                <w:tcPr>
                  <w:tcW w:w="1132" w:type="dxa"/>
                </w:tcPr>
                <w:p w14:paraId="7329636E" w14:textId="77777777" w:rsidR="00D45D26" w:rsidRPr="00A84855" w:rsidRDefault="00D45D26" w:rsidP="00D45D26">
                  <w:pPr>
                    <w:rPr>
                      <w:rFonts w:ascii="Times New Roman" w:hAnsi="Times New Roman" w:cs="Times New Roman"/>
                    </w:rPr>
                  </w:pPr>
                  <w:r w:rsidRPr="00A84855">
                    <w:rPr>
                      <w:rFonts w:ascii="Times New Roman" w:eastAsia="Times New Roman" w:hAnsi="Times New Roman" w:cs="Times New Roman"/>
                      <w:lang w:eastAsia="lt-LT"/>
                    </w:rPr>
                    <w:t>2/ 19,2</w:t>
                  </w:r>
                </w:p>
              </w:tc>
              <w:tc>
                <w:tcPr>
                  <w:tcW w:w="1132" w:type="dxa"/>
                </w:tcPr>
                <w:p w14:paraId="7329636F" w14:textId="77777777" w:rsidR="00D45D26" w:rsidRPr="00A84855" w:rsidRDefault="00D45D26" w:rsidP="00D45D26">
                  <w:pPr>
                    <w:rPr>
                      <w:rFonts w:ascii="Times New Roman" w:hAnsi="Times New Roman" w:cs="Times New Roman"/>
                    </w:rPr>
                  </w:pPr>
                  <w:r w:rsidRPr="00A84855">
                    <w:rPr>
                      <w:rFonts w:ascii="Times New Roman" w:eastAsia="Times New Roman" w:hAnsi="Times New Roman" w:cs="Times New Roman"/>
                      <w:lang w:eastAsia="lt-LT"/>
                    </w:rPr>
                    <w:t>2/ 19,2</w:t>
                  </w:r>
                </w:p>
              </w:tc>
              <w:tc>
                <w:tcPr>
                  <w:tcW w:w="1003" w:type="dxa"/>
                </w:tcPr>
                <w:p w14:paraId="73296370" w14:textId="77777777" w:rsidR="00D45D26" w:rsidRPr="00A84855" w:rsidRDefault="00D45D26" w:rsidP="00D45D26">
                  <w:pPr>
                    <w:rPr>
                      <w:rFonts w:ascii="Times New Roman" w:hAnsi="Times New Roman" w:cs="Times New Roman"/>
                    </w:rPr>
                  </w:pPr>
                  <w:r w:rsidRPr="00A84855">
                    <w:rPr>
                      <w:rFonts w:ascii="Times New Roman" w:eastAsia="Times New Roman" w:hAnsi="Times New Roman" w:cs="Times New Roman"/>
                      <w:lang w:eastAsia="lt-LT"/>
                    </w:rPr>
                    <w:t>2/ 19,2</w:t>
                  </w:r>
                </w:p>
              </w:tc>
              <w:tc>
                <w:tcPr>
                  <w:tcW w:w="1132" w:type="dxa"/>
                </w:tcPr>
                <w:p w14:paraId="73296371" w14:textId="77777777" w:rsidR="00D45D26" w:rsidRPr="00A84855" w:rsidRDefault="00D45D26" w:rsidP="00D45D26">
                  <w:pPr>
                    <w:rPr>
                      <w:rFonts w:ascii="Times New Roman" w:hAnsi="Times New Roman" w:cs="Times New Roman"/>
                    </w:rPr>
                  </w:pPr>
                  <w:r w:rsidRPr="00A84855">
                    <w:rPr>
                      <w:rFonts w:ascii="Times New Roman" w:eastAsia="Times New Roman" w:hAnsi="Times New Roman" w:cs="Times New Roman"/>
                      <w:lang w:eastAsia="lt-LT"/>
                    </w:rPr>
                    <w:t>2/ 19,2</w:t>
                  </w:r>
                </w:p>
              </w:tc>
              <w:tc>
                <w:tcPr>
                  <w:tcW w:w="991" w:type="dxa"/>
                </w:tcPr>
                <w:p w14:paraId="73296372" w14:textId="77777777" w:rsidR="00D45D26" w:rsidRPr="00A84855" w:rsidRDefault="00D45D26" w:rsidP="00D45D26">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96,0</w:t>
                  </w:r>
                </w:p>
              </w:tc>
            </w:tr>
            <w:tr w:rsidR="005032C3" w:rsidRPr="00861B98" w14:paraId="7329637B" w14:textId="77777777" w:rsidTr="005032C3">
              <w:tc>
                <w:tcPr>
                  <w:tcW w:w="3129" w:type="dxa"/>
                </w:tcPr>
                <w:p w14:paraId="73296374" w14:textId="77777777" w:rsidR="005032C3" w:rsidRPr="00A84855" w:rsidRDefault="005032C3" w:rsidP="005032C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Kitos lėšos planuojamos programai</w:t>
                  </w:r>
                </w:p>
              </w:tc>
              <w:tc>
                <w:tcPr>
                  <w:tcW w:w="1003" w:type="dxa"/>
                </w:tcPr>
                <w:p w14:paraId="73296375"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8,0</w:t>
                  </w:r>
                </w:p>
              </w:tc>
              <w:tc>
                <w:tcPr>
                  <w:tcW w:w="1132" w:type="dxa"/>
                </w:tcPr>
                <w:p w14:paraId="73296376"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8,0</w:t>
                  </w:r>
                </w:p>
              </w:tc>
              <w:tc>
                <w:tcPr>
                  <w:tcW w:w="1132" w:type="dxa"/>
                </w:tcPr>
                <w:p w14:paraId="73296377"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8,0</w:t>
                  </w:r>
                </w:p>
              </w:tc>
              <w:tc>
                <w:tcPr>
                  <w:tcW w:w="1003" w:type="dxa"/>
                </w:tcPr>
                <w:p w14:paraId="73296378"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8,0</w:t>
                  </w:r>
                </w:p>
              </w:tc>
              <w:tc>
                <w:tcPr>
                  <w:tcW w:w="1132" w:type="dxa"/>
                </w:tcPr>
                <w:p w14:paraId="73296379"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8,0</w:t>
                  </w:r>
                </w:p>
              </w:tc>
              <w:tc>
                <w:tcPr>
                  <w:tcW w:w="991" w:type="dxa"/>
                </w:tcPr>
                <w:p w14:paraId="7329637A"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40,0</w:t>
                  </w:r>
                </w:p>
              </w:tc>
            </w:tr>
            <w:tr w:rsidR="00D45D26" w:rsidRPr="00861B98" w14:paraId="73296383" w14:textId="77777777" w:rsidTr="005032C3">
              <w:tc>
                <w:tcPr>
                  <w:tcW w:w="3129" w:type="dxa"/>
                </w:tcPr>
                <w:p w14:paraId="7329637C" w14:textId="77777777" w:rsidR="00D45D26" w:rsidRPr="00A84855" w:rsidRDefault="00D45D26" w:rsidP="00D45D26">
                  <w:pPr>
                    <w:jc w:val="right"/>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Iš viso:</w:t>
                  </w:r>
                </w:p>
              </w:tc>
              <w:tc>
                <w:tcPr>
                  <w:tcW w:w="1003" w:type="dxa"/>
                </w:tcPr>
                <w:p w14:paraId="7329637D" w14:textId="77777777" w:rsidR="00D45D26" w:rsidRPr="00A84855" w:rsidRDefault="005032C3" w:rsidP="00D45D26">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27,2</w:t>
                  </w:r>
                </w:p>
              </w:tc>
              <w:tc>
                <w:tcPr>
                  <w:tcW w:w="1132" w:type="dxa"/>
                </w:tcPr>
                <w:p w14:paraId="7329637E" w14:textId="77777777" w:rsidR="00D45D26" w:rsidRPr="00A84855" w:rsidRDefault="005032C3" w:rsidP="00D45D26">
                  <w:pPr>
                    <w:jc w:val="center"/>
                    <w:rPr>
                      <w:rFonts w:ascii="Times New Roman" w:hAnsi="Times New Roman" w:cs="Times New Roman"/>
                    </w:rPr>
                  </w:pPr>
                  <w:r w:rsidRPr="00A84855">
                    <w:rPr>
                      <w:rFonts w:ascii="Times New Roman" w:eastAsia="Times New Roman" w:hAnsi="Times New Roman" w:cs="Times New Roman"/>
                      <w:lang w:eastAsia="lt-LT"/>
                    </w:rPr>
                    <w:t>27,2</w:t>
                  </w:r>
                </w:p>
              </w:tc>
              <w:tc>
                <w:tcPr>
                  <w:tcW w:w="1132" w:type="dxa"/>
                </w:tcPr>
                <w:p w14:paraId="7329637F" w14:textId="77777777" w:rsidR="00D45D26" w:rsidRPr="00A84855" w:rsidRDefault="005032C3" w:rsidP="00D45D26">
                  <w:pPr>
                    <w:jc w:val="center"/>
                    <w:rPr>
                      <w:rFonts w:ascii="Times New Roman" w:hAnsi="Times New Roman" w:cs="Times New Roman"/>
                    </w:rPr>
                  </w:pPr>
                  <w:r w:rsidRPr="00A84855">
                    <w:rPr>
                      <w:rFonts w:ascii="Times New Roman" w:eastAsia="Times New Roman" w:hAnsi="Times New Roman" w:cs="Times New Roman"/>
                      <w:lang w:eastAsia="lt-LT"/>
                    </w:rPr>
                    <w:t>27,2</w:t>
                  </w:r>
                </w:p>
              </w:tc>
              <w:tc>
                <w:tcPr>
                  <w:tcW w:w="1003" w:type="dxa"/>
                </w:tcPr>
                <w:p w14:paraId="73296380" w14:textId="77777777" w:rsidR="00D45D26" w:rsidRPr="00A84855" w:rsidRDefault="005032C3" w:rsidP="00D45D26">
                  <w:pPr>
                    <w:jc w:val="center"/>
                    <w:rPr>
                      <w:rFonts w:ascii="Times New Roman" w:hAnsi="Times New Roman" w:cs="Times New Roman"/>
                    </w:rPr>
                  </w:pPr>
                  <w:r w:rsidRPr="00A84855">
                    <w:rPr>
                      <w:rFonts w:ascii="Times New Roman" w:eastAsia="Times New Roman" w:hAnsi="Times New Roman" w:cs="Times New Roman"/>
                      <w:lang w:eastAsia="lt-LT"/>
                    </w:rPr>
                    <w:t>27,2</w:t>
                  </w:r>
                </w:p>
              </w:tc>
              <w:tc>
                <w:tcPr>
                  <w:tcW w:w="1132" w:type="dxa"/>
                </w:tcPr>
                <w:p w14:paraId="73296381" w14:textId="77777777" w:rsidR="00D45D26" w:rsidRPr="00A84855" w:rsidRDefault="005032C3" w:rsidP="00D45D26">
                  <w:pPr>
                    <w:jc w:val="center"/>
                    <w:rPr>
                      <w:rFonts w:ascii="Times New Roman" w:hAnsi="Times New Roman" w:cs="Times New Roman"/>
                    </w:rPr>
                  </w:pPr>
                  <w:r w:rsidRPr="00A84855">
                    <w:rPr>
                      <w:rFonts w:ascii="Times New Roman" w:eastAsia="Times New Roman" w:hAnsi="Times New Roman" w:cs="Times New Roman"/>
                      <w:lang w:eastAsia="lt-LT"/>
                    </w:rPr>
                    <w:t>27,2</w:t>
                  </w:r>
                </w:p>
              </w:tc>
              <w:tc>
                <w:tcPr>
                  <w:tcW w:w="991" w:type="dxa"/>
                </w:tcPr>
                <w:p w14:paraId="73296382" w14:textId="77777777" w:rsidR="00D45D26" w:rsidRPr="00A84855" w:rsidRDefault="005032C3" w:rsidP="00D45D26">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136,0</w:t>
                  </w:r>
                </w:p>
              </w:tc>
            </w:tr>
            <w:tr w:rsidR="00D45D26" w:rsidRPr="00861B98" w14:paraId="73296385" w14:textId="77777777" w:rsidTr="002C7813">
              <w:tc>
                <w:tcPr>
                  <w:tcW w:w="9522" w:type="dxa"/>
                  <w:gridSpan w:val="7"/>
                </w:tcPr>
                <w:p w14:paraId="73296384" w14:textId="77777777" w:rsidR="00D45D26" w:rsidRPr="00A84855" w:rsidRDefault="00BD2D59" w:rsidP="00D45D26">
                  <w:pPr>
                    <w:jc w:val="center"/>
                    <w:rPr>
                      <w:rFonts w:ascii="Times New Roman" w:eastAsia="Times New Roman" w:hAnsi="Times New Roman" w:cs="Times New Roman"/>
                      <w:lang w:eastAsia="lt-LT"/>
                    </w:rPr>
                  </w:pPr>
                  <w:r w:rsidRPr="00A84855">
                    <w:rPr>
                      <w:rFonts w:ascii="Times New Roman" w:hAnsi="Times New Roman" w:cs="Times New Roman"/>
                    </w:rPr>
                    <w:t xml:space="preserve">Socialinių-ekonominių sergamumo, mirtingumo ir </w:t>
                  </w:r>
                  <w:proofErr w:type="spellStart"/>
                  <w:r w:rsidRPr="00A84855">
                    <w:rPr>
                      <w:rFonts w:ascii="Times New Roman" w:hAnsi="Times New Roman" w:cs="Times New Roman"/>
                    </w:rPr>
                    <w:t>išgyvenamumo</w:t>
                  </w:r>
                  <w:proofErr w:type="spellEnd"/>
                  <w:r w:rsidRPr="00A84855">
                    <w:rPr>
                      <w:rFonts w:ascii="Times New Roman" w:hAnsi="Times New Roman" w:cs="Times New Roman"/>
                    </w:rPr>
                    <w:t xml:space="preserve"> netolygumų tyrimai</w:t>
                  </w:r>
                </w:p>
              </w:tc>
            </w:tr>
            <w:tr w:rsidR="005032C3" w:rsidRPr="00861B98" w14:paraId="7329638D" w14:textId="77777777" w:rsidTr="005032C3">
              <w:tc>
                <w:tcPr>
                  <w:tcW w:w="3129" w:type="dxa"/>
                </w:tcPr>
                <w:p w14:paraId="73296386" w14:textId="77777777" w:rsidR="005032C3" w:rsidRPr="00A84855" w:rsidRDefault="005032C3" w:rsidP="005032C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Programai skirti norminiai etatai/lėšos</w:t>
                  </w:r>
                </w:p>
              </w:tc>
              <w:tc>
                <w:tcPr>
                  <w:tcW w:w="1003" w:type="dxa"/>
                </w:tcPr>
                <w:p w14:paraId="73296387" w14:textId="77777777" w:rsidR="005032C3" w:rsidRPr="00A84855" w:rsidRDefault="005032C3" w:rsidP="005032C3">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 19,2</w:t>
                  </w:r>
                </w:p>
              </w:tc>
              <w:tc>
                <w:tcPr>
                  <w:tcW w:w="1132" w:type="dxa"/>
                </w:tcPr>
                <w:p w14:paraId="73296388" w14:textId="77777777" w:rsidR="005032C3" w:rsidRPr="00A84855" w:rsidRDefault="005032C3" w:rsidP="005032C3">
                  <w:pPr>
                    <w:rPr>
                      <w:rFonts w:ascii="Times New Roman" w:hAnsi="Times New Roman" w:cs="Times New Roman"/>
                    </w:rPr>
                  </w:pPr>
                  <w:r w:rsidRPr="00A84855">
                    <w:rPr>
                      <w:rFonts w:ascii="Times New Roman" w:eastAsia="Times New Roman" w:hAnsi="Times New Roman" w:cs="Times New Roman"/>
                      <w:lang w:eastAsia="lt-LT"/>
                    </w:rPr>
                    <w:t>2/ 19,2</w:t>
                  </w:r>
                </w:p>
              </w:tc>
              <w:tc>
                <w:tcPr>
                  <w:tcW w:w="1132" w:type="dxa"/>
                </w:tcPr>
                <w:p w14:paraId="73296389" w14:textId="77777777" w:rsidR="005032C3" w:rsidRPr="00A84855" w:rsidRDefault="005032C3" w:rsidP="005032C3">
                  <w:pPr>
                    <w:rPr>
                      <w:rFonts w:ascii="Times New Roman" w:hAnsi="Times New Roman" w:cs="Times New Roman"/>
                    </w:rPr>
                  </w:pPr>
                  <w:r w:rsidRPr="00A84855">
                    <w:rPr>
                      <w:rFonts w:ascii="Times New Roman" w:eastAsia="Times New Roman" w:hAnsi="Times New Roman" w:cs="Times New Roman"/>
                      <w:lang w:eastAsia="lt-LT"/>
                    </w:rPr>
                    <w:t>2/ 19,2</w:t>
                  </w:r>
                </w:p>
              </w:tc>
              <w:tc>
                <w:tcPr>
                  <w:tcW w:w="1003" w:type="dxa"/>
                </w:tcPr>
                <w:p w14:paraId="7329638A" w14:textId="77777777" w:rsidR="005032C3" w:rsidRPr="00A84855" w:rsidRDefault="005032C3" w:rsidP="005032C3">
                  <w:pPr>
                    <w:rPr>
                      <w:rFonts w:ascii="Times New Roman" w:hAnsi="Times New Roman" w:cs="Times New Roman"/>
                    </w:rPr>
                  </w:pPr>
                  <w:r w:rsidRPr="00A84855">
                    <w:rPr>
                      <w:rFonts w:ascii="Times New Roman" w:eastAsia="Times New Roman" w:hAnsi="Times New Roman" w:cs="Times New Roman"/>
                      <w:lang w:eastAsia="lt-LT"/>
                    </w:rPr>
                    <w:t>2/ 19,2</w:t>
                  </w:r>
                </w:p>
              </w:tc>
              <w:tc>
                <w:tcPr>
                  <w:tcW w:w="1132" w:type="dxa"/>
                </w:tcPr>
                <w:p w14:paraId="7329638B" w14:textId="77777777" w:rsidR="005032C3" w:rsidRPr="00A84855" w:rsidRDefault="005032C3" w:rsidP="005032C3">
                  <w:pPr>
                    <w:rPr>
                      <w:rFonts w:ascii="Times New Roman" w:hAnsi="Times New Roman" w:cs="Times New Roman"/>
                    </w:rPr>
                  </w:pPr>
                  <w:r w:rsidRPr="00A84855">
                    <w:rPr>
                      <w:rFonts w:ascii="Times New Roman" w:eastAsia="Times New Roman" w:hAnsi="Times New Roman" w:cs="Times New Roman"/>
                      <w:lang w:eastAsia="lt-LT"/>
                    </w:rPr>
                    <w:t>2/ 19,2</w:t>
                  </w:r>
                </w:p>
              </w:tc>
              <w:tc>
                <w:tcPr>
                  <w:tcW w:w="991" w:type="dxa"/>
                </w:tcPr>
                <w:p w14:paraId="7329638C" w14:textId="77777777" w:rsidR="005032C3" w:rsidRPr="00A84855" w:rsidRDefault="005032C3" w:rsidP="005032C3">
                  <w:pPr>
                    <w:spacing w:after="0" w:line="240" w:lineRule="auto"/>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96,0</w:t>
                  </w:r>
                </w:p>
              </w:tc>
            </w:tr>
            <w:tr w:rsidR="005032C3" w:rsidRPr="00861B98" w14:paraId="73296395" w14:textId="77777777" w:rsidTr="005032C3">
              <w:tc>
                <w:tcPr>
                  <w:tcW w:w="3129" w:type="dxa"/>
                </w:tcPr>
                <w:p w14:paraId="7329638E" w14:textId="77777777" w:rsidR="005032C3" w:rsidRPr="00A84855" w:rsidRDefault="005032C3" w:rsidP="005032C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Kitos lėšos planuojamos programai</w:t>
                  </w:r>
                </w:p>
              </w:tc>
              <w:tc>
                <w:tcPr>
                  <w:tcW w:w="1003" w:type="dxa"/>
                </w:tcPr>
                <w:p w14:paraId="7329638F"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8,0</w:t>
                  </w:r>
                </w:p>
              </w:tc>
              <w:tc>
                <w:tcPr>
                  <w:tcW w:w="1132" w:type="dxa"/>
                </w:tcPr>
                <w:p w14:paraId="73296390"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8,0</w:t>
                  </w:r>
                </w:p>
              </w:tc>
              <w:tc>
                <w:tcPr>
                  <w:tcW w:w="1132" w:type="dxa"/>
                </w:tcPr>
                <w:p w14:paraId="73296391"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8,0</w:t>
                  </w:r>
                </w:p>
              </w:tc>
              <w:tc>
                <w:tcPr>
                  <w:tcW w:w="1003" w:type="dxa"/>
                </w:tcPr>
                <w:p w14:paraId="73296392"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8,0</w:t>
                  </w:r>
                </w:p>
              </w:tc>
              <w:tc>
                <w:tcPr>
                  <w:tcW w:w="1132" w:type="dxa"/>
                </w:tcPr>
                <w:p w14:paraId="73296393"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8,0</w:t>
                  </w:r>
                </w:p>
              </w:tc>
              <w:tc>
                <w:tcPr>
                  <w:tcW w:w="991" w:type="dxa"/>
                </w:tcPr>
                <w:p w14:paraId="73296394"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40,0</w:t>
                  </w:r>
                </w:p>
              </w:tc>
            </w:tr>
            <w:tr w:rsidR="005032C3" w:rsidRPr="00861B98" w14:paraId="7329639D" w14:textId="77777777" w:rsidTr="005032C3">
              <w:tc>
                <w:tcPr>
                  <w:tcW w:w="3129" w:type="dxa"/>
                </w:tcPr>
                <w:p w14:paraId="73296396" w14:textId="77777777" w:rsidR="005032C3" w:rsidRPr="00A84855" w:rsidRDefault="005032C3" w:rsidP="005032C3">
                  <w:pPr>
                    <w:jc w:val="right"/>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Iš viso:</w:t>
                  </w:r>
                </w:p>
              </w:tc>
              <w:tc>
                <w:tcPr>
                  <w:tcW w:w="1003" w:type="dxa"/>
                </w:tcPr>
                <w:p w14:paraId="73296397"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27,2</w:t>
                  </w:r>
                </w:p>
              </w:tc>
              <w:tc>
                <w:tcPr>
                  <w:tcW w:w="1132" w:type="dxa"/>
                </w:tcPr>
                <w:p w14:paraId="73296398"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27,2</w:t>
                  </w:r>
                </w:p>
              </w:tc>
              <w:tc>
                <w:tcPr>
                  <w:tcW w:w="1132" w:type="dxa"/>
                </w:tcPr>
                <w:p w14:paraId="73296399"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27,2</w:t>
                  </w:r>
                </w:p>
              </w:tc>
              <w:tc>
                <w:tcPr>
                  <w:tcW w:w="1003" w:type="dxa"/>
                </w:tcPr>
                <w:p w14:paraId="7329639A"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27,2</w:t>
                  </w:r>
                </w:p>
              </w:tc>
              <w:tc>
                <w:tcPr>
                  <w:tcW w:w="1132" w:type="dxa"/>
                </w:tcPr>
                <w:p w14:paraId="7329639B"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27,2</w:t>
                  </w:r>
                </w:p>
              </w:tc>
              <w:tc>
                <w:tcPr>
                  <w:tcW w:w="991" w:type="dxa"/>
                </w:tcPr>
                <w:p w14:paraId="7329639C"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136,0</w:t>
                  </w:r>
                </w:p>
              </w:tc>
            </w:tr>
            <w:tr w:rsidR="00D45D26" w:rsidRPr="00861B98" w14:paraId="7329639F" w14:textId="77777777" w:rsidTr="002C7813">
              <w:tc>
                <w:tcPr>
                  <w:tcW w:w="9522" w:type="dxa"/>
                  <w:gridSpan w:val="7"/>
                </w:tcPr>
                <w:p w14:paraId="7329639E" w14:textId="77777777" w:rsidR="00D45D26" w:rsidRPr="00A84855" w:rsidRDefault="00D45D26" w:rsidP="00D45D26">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Iš viso uždaviniui:</w:t>
                  </w:r>
                </w:p>
              </w:tc>
            </w:tr>
            <w:tr w:rsidR="005032C3" w:rsidRPr="00861B98" w14:paraId="732963A7" w14:textId="77777777" w:rsidTr="005032C3">
              <w:tc>
                <w:tcPr>
                  <w:tcW w:w="3129" w:type="dxa"/>
                </w:tcPr>
                <w:p w14:paraId="732963A0" w14:textId="77777777" w:rsidR="005032C3" w:rsidRPr="00A84855" w:rsidRDefault="005032C3" w:rsidP="005032C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Programai skirti norminiai etatai/lėšos</w:t>
                  </w:r>
                </w:p>
              </w:tc>
              <w:tc>
                <w:tcPr>
                  <w:tcW w:w="1003" w:type="dxa"/>
                </w:tcPr>
                <w:p w14:paraId="732963A1"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6,2/59,3</w:t>
                  </w:r>
                </w:p>
              </w:tc>
              <w:tc>
                <w:tcPr>
                  <w:tcW w:w="1132" w:type="dxa"/>
                </w:tcPr>
                <w:p w14:paraId="732963A2" w14:textId="77777777" w:rsidR="005032C3" w:rsidRPr="00A84855" w:rsidRDefault="005032C3" w:rsidP="005032C3">
                  <w:pPr>
                    <w:rPr>
                      <w:rFonts w:ascii="Times New Roman" w:hAnsi="Times New Roman" w:cs="Times New Roman"/>
                    </w:rPr>
                  </w:pPr>
                  <w:r w:rsidRPr="00A84855">
                    <w:rPr>
                      <w:rFonts w:ascii="Times New Roman" w:eastAsia="Times New Roman" w:hAnsi="Times New Roman" w:cs="Times New Roman"/>
                      <w:lang w:eastAsia="lt-LT"/>
                    </w:rPr>
                    <w:t>6,2/59,3</w:t>
                  </w:r>
                </w:p>
              </w:tc>
              <w:tc>
                <w:tcPr>
                  <w:tcW w:w="1132" w:type="dxa"/>
                </w:tcPr>
                <w:p w14:paraId="732963A3" w14:textId="77777777" w:rsidR="005032C3" w:rsidRPr="00A84855" w:rsidRDefault="005032C3" w:rsidP="005032C3">
                  <w:pPr>
                    <w:rPr>
                      <w:rFonts w:ascii="Times New Roman" w:hAnsi="Times New Roman" w:cs="Times New Roman"/>
                    </w:rPr>
                  </w:pPr>
                  <w:r w:rsidRPr="00A84855">
                    <w:rPr>
                      <w:rFonts w:ascii="Times New Roman" w:eastAsia="Times New Roman" w:hAnsi="Times New Roman" w:cs="Times New Roman"/>
                      <w:lang w:eastAsia="lt-LT"/>
                    </w:rPr>
                    <w:t>6,2/59,3</w:t>
                  </w:r>
                </w:p>
              </w:tc>
              <w:tc>
                <w:tcPr>
                  <w:tcW w:w="1003" w:type="dxa"/>
                </w:tcPr>
                <w:p w14:paraId="732963A4" w14:textId="77777777" w:rsidR="005032C3" w:rsidRPr="00A84855" w:rsidRDefault="005032C3" w:rsidP="005032C3">
                  <w:pPr>
                    <w:rPr>
                      <w:rFonts w:ascii="Times New Roman" w:hAnsi="Times New Roman" w:cs="Times New Roman"/>
                    </w:rPr>
                  </w:pPr>
                  <w:r w:rsidRPr="00A84855">
                    <w:rPr>
                      <w:rFonts w:ascii="Times New Roman" w:eastAsia="Times New Roman" w:hAnsi="Times New Roman" w:cs="Times New Roman"/>
                      <w:lang w:eastAsia="lt-LT"/>
                    </w:rPr>
                    <w:t>6,2/59,3</w:t>
                  </w:r>
                </w:p>
              </w:tc>
              <w:tc>
                <w:tcPr>
                  <w:tcW w:w="1132" w:type="dxa"/>
                </w:tcPr>
                <w:p w14:paraId="732963A5" w14:textId="77777777" w:rsidR="005032C3" w:rsidRPr="00A84855" w:rsidRDefault="005032C3" w:rsidP="005032C3">
                  <w:pPr>
                    <w:rPr>
                      <w:rFonts w:ascii="Times New Roman" w:hAnsi="Times New Roman" w:cs="Times New Roman"/>
                    </w:rPr>
                  </w:pPr>
                  <w:r w:rsidRPr="00A84855">
                    <w:rPr>
                      <w:rFonts w:ascii="Times New Roman" w:eastAsia="Times New Roman" w:hAnsi="Times New Roman" w:cs="Times New Roman"/>
                      <w:lang w:eastAsia="lt-LT"/>
                    </w:rPr>
                    <w:t>6,2/59,3</w:t>
                  </w:r>
                </w:p>
              </w:tc>
              <w:tc>
                <w:tcPr>
                  <w:tcW w:w="991" w:type="dxa"/>
                </w:tcPr>
                <w:p w14:paraId="732963A6"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296,5</w:t>
                  </w:r>
                </w:p>
              </w:tc>
            </w:tr>
            <w:tr w:rsidR="005032C3" w:rsidRPr="00861B98" w14:paraId="732963AF" w14:textId="77777777" w:rsidTr="005032C3">
              <w:tc>
                <w:tcPr>
                  <w:tcW w:w="3129" w:type="dxa"/>
                </w:tcPr>
                <w:p w14:paraId="732963A8" w14:textId="77777777" w:rsidR="005032C3" w:rsidRPr="00A84855" w:rsidRDefault="005032C3" w:rsidP="005032C3">
                  <w:pPr>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Kitos lėšos planuojamos programai</w:t>
                  </w:r>
                </w:p>
              </w:tc>
              <w:tc>
                <w:tcPr>
                  <w:tcW w:w="1003" w:type="dxa"/>
                </w:tcPr>
                <w:p w14:paraId="732963A9"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24,5</w:t>
                  </w:r>
                </w:p>
              </w:tc>
              <w:tc>
                <w:tcPr>
                  <w:tcW w:w="1132" w:type="dxa"/>
                </w:tcPr>
                <w:p w14:paraId="732963AA"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24,5</w:t>
                  </w:r>
                </w:p>
              </w:tc>
              <w:tc>
                <w:tcPr>
                  <w:tcW w:w="1132" w:type="dxa"/>
                </w:tcPr>
                <w:p w14:paraId="732963AB"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24,5</w:t>
                  </w:r>
                </w:p>
              </w:tc>
              <w:tc>
                <w:tcPr>
                  <w:tcW w:w="1003" w:type="dxa"/>
                </w:tcPr>
                <w:p w14:paraId="732963AC"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24,5</w:t>
                  </w:r>
                </w:p>
              </w:tc>
              <w:tc>
                <w:tcPr>
                  <w:tcW w:w="1132" w:type="dxa"/>
                </w:tcPr>
                <w:p w14:paraId="732963AD" w14:textId="77777777" w:rsidR="005032C3" w:rsidRPr="00A84855" w:rsidRDefault="005032C3" w:rsidP="005032C3">
                  <w:pPr>
                    <w:jc w:val="center"/>
                    <w:rPr>
                      <w:rFonts w:ascii="Times New Roman" w:hAnsi="Times New Roman" w:cs="Times New Roman"/>
                    </w:rPr>
                  </w:pPr>
                  <w:r w:rsidRPr="00A84855">
                    <w:rPr>
                      <w:rFonts w:ascii="Times New Roman" w:eastAsia="Times New Roman" w:hAnsi="Times New Roman" w:cs="Times New Roman"/>
                      <w:lang w:eastAsia="lt-LT"/>
                    </w:rPr>
                    <w:t>24,5</w:t>
                  </w:r>
                </w:p>
              </w:tc>
              <w:tc>
                <w:tcPr>
                  <w:tcW w:w="991" w:type="dxa"/>
                </w:tcPr>
                <w:p w14:paraId="732963AE" w14:textId="77777777" w:rsidR="005032C3" w:rsidRPr="00A84855" w:rsidRDefault="005032C3" w:rsidP="005032C3">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122,5</w:t>
                  </w:r>
                </w:p>
              </w:tc>
            </w:tr>
            <w:tr w:rsidR="00D45D26" w:rsidRPr="00861B98" w14:paraId="732963B7" w14:textId="77777777" w:rsidTr="005032C3">
              <w:tc>
                <w:tcPr>
                  <w:tcW w:w="3129" w:type="dxa"/>
                </w:tcPr>
                <w:p w14:paraId="732963B0" w14:textId="77777777" w:rsidR="00D45D26" w:rsidRPr="00A84855" w:rsidRDefault="00D45D26" w:rsidP="00D45D26">
                  <w:pPr>
                    <w:jc w:val="right"/>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Iš viso:</w:t>
                  </w:r>
                </w:p>
              </w:tc>
              <w:tc>
                <w:tcPr>
                  <w:tcW w:w="1003" w:type="dxa"/>
                </w:tcPr>
                <w:p w14:paraId="732963B1" w14:textId="77777777" w:rsidR="00D45D26" w:rsidRPr="00A84855" w:rsidRDefault="00D45D26" w:rsidP="00D45D26">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83,8</w:t>
                  </w:r>
                </w:p>
              </w:tc>
              <w:tc>
                <w:tcPr>
                  <w:tcW w:w="1132" w:type="dxa"/>
                </w:tcPr>
                <w:p w14:paraId="732963B2" w14:textId="77777777" w:rsidR="00D45D26" w:rsidRPr="00A84855" w:rsidRDefault="00D45D26" w:rsidP="00D45D26">
                  <w:pPr>
                    <w:jc w:val="center"/>
                    <w:rPr>
                      <w:rFonts w:ascii="Times New Roman" w:hAnsi="Times New Roman" w:cs="Times New Roman"/>
                    </w:rPr>
                  </w:pPr>
                  <w:r w:rsidRPr="00A84855">
                    <w:rPr>
                      <w:rFonts w:ascii="Times New Roman" w:eastAsia="Times New Roman" w:hAnsi="Times New Roman" w:cs="Times New Roman"/>
                      <w:lang w:eastAsia="lt-LT"/>
                    </w:rPr>
                    <w:t>83,8</w:t>
                  </w:r>
                </w:p>
              </w:tc>
              <w:tc>
                <w:tcPr>
                  <w:tcW w:w="1132" w:type="dxa"/>
                </w:tcPr>
                <w:p w14:paraId="732963B3" w14:textId="77777777" w:rsidR="00D45D26" w:rsidRPr="00A84855" w:rsidRDefault="00D45D26" w:rsidP="00D45D26">
                  <w:pPr>
                    <w:jc w:val="center"/>
                    <w:rPr>
                      <w:rFonts w:ascii="Times New Roman" w:hAnsi="Times New Roman" w:cs="Times New Roman"/>
                    </w:rPr>
                  </w:pPr>
                  <w:r w:rsidRPr="00A84855">
                    <w:rPr>
                      <w:rFonts w:ascii="Times New Roman" w:eastAsia="Times New Roman" w:hAnsi="Times New Roman" w:cs="Times New Roman"/>
                      <w:lang w:eastAsia="lt-LT"/>
                    </w:rPr>
                    <w:t>83,8</w:t>
                  </w:r>
                </w:p>
              </w:tc>
              <w:tc>
                <w:tcPr>
                  <w:tcW w:w="1003" w:type="dxa"/>
                </w:tcPr>
                <w:p w14:paraId="732963B4" w14:textId="77777777" w:rsidR="00D45D26" w:rsidRPr="00A84855" w:rsidRDefault="00D45D26" w:rsidP="00D45D26">
                  <w:pPr>
                    <w:jc w:val="center"/>
                    <w:rPr>
                      <w:rFonts w:ascii="Times New Roman" w:hAnsi="Times New Roman" w:cs="Times New Roman"/>
                    </w:rPr>
                  </w:pPr>
                  <w:r w:rsidRPr="00A84855">
                    <w:rPr>
                      <w:rFonts w:ascii="Times New Roman" w:eastAsia="Times New Roman" w:hAnsi="Times New Roman" w:cs="Times New Roman"/>
                      <w:lang w:eastAsia="lt-LT"/>
                    </w:rPr>
                    <w:t>83,8</w:t>
                  </w:r>
                </w:p>
              </w:tc>
              <w:tc>
                <w:tcPr>
                  <w:tcW w:w="1132" w:type="dxa"/>
                </w:tcPr>
                <w:p w14:paraId="732963B5" w14:textId="77777777" w:rsidR="00D45D26" w:rsidRPr="00A84855" w:rsidRDefault="00D45D26" w:rsidP="00D45D26">
                  <w:pPr>
                    <w:jc w:val="center"/>
                    <w:rPr>
                      <w:rFonts w:ascii="Times New Roman" w:hAnsi="Times New Roman" w:cs="Times New Roman"/>
                    </w:rPr>
                  </w:pPr>
                  <w:r w:rsidRPr="00A84855">
                    <w:rPr>
                      <w:rFonts w:ascii="Times New Roman" w:eastAsia="Times New Roman" w:hAnsi="Times New Roman" w:cs="Times New Roman"/>
                      <w:lang w:eastAsia="lt-LT"/>
                    </w:rPr>
                    <w:t>83,8</w:t>
                  </w:r>
                </w:p>
              </w:tc>
              <w:tc>
                <w:tcPr>
                  <w:tcW w:w="991" w:type="dxa"/>
                </w:tcPr>
                <w:p w14:paraId="732963B6" w14:textId="77777777" w:rsidR="00D45D26" w:rsidRPr="00A84855" w:rsidRDefault="00D45D26" w:rsidP="00D45D26">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419,0</w:t>
                  </w:r>
                </w:p>
              </w:tc>
            </w:tr>
          </w:tbl>
          <w:p w14:paraId="732963B8" w14:textId="77777777" w:rsidR="00A84855" w:rsidRPr="00A84855" w:rsidRDefault="00A84855" w:rsidP="00A84855">
            <w:pPr>
              <w:pStyle w:val="Betarp"/>
              <w:jc w:val="both"/>
              <w:rPr>
                <w:rFonts w:ascii="Times New Roman" w:hAnsi="Times New Roman"/>
                <w:b/>
                <w:sz w:val="24"/>
                <w:szCs w:val="24"/>
              </w:rPr>
            </w:pPr>
            <w:r w:rsidRPr="00A84855">
              <w:rPr>
                <w:b/>
              </w:rPr>
              <w:t xml:space="preserve">    </w:t>
            </w:r>
            <w:r w:rsidR="00B037C6" w:rsidRPr="00A84855">
              <w:rPr>
                <w:rFonts w:ascii="Times New Roman" w:hAnsi="Times New Roman"/>
                <w:b/>
                <w:sz w:val="24"/>
                <w:szCs w:val="24"/>
              </w:rPr>
              <w:t>6. Numatomi rezultatai:</w:t>
            </w:r>
            <w:r w:rsidRPr="00A84855">
              <w:rPr>
                <w:rFonts w:ascii="Times New Roman" w:hAnsi="Times New Roman"/>
                <w:b/>
                <w:sz w:val="24"/>
                <w:szCs w:val="24"/>
              </w:rPr>
              <w:t xml:space="preserve"> </w:t>
            </w:r>
          </w:p>
          <w:p w14:paraId="732963B9" w14:textId="77777777" w:rsidR="00B037C6" w:rsidRPr="00861B98" w:rsidRDefault="00B037C6" w:rsidP="00A84855">
            <w:pPr>
              <w:pStyle w:val="Betarp"/>
              <w:jc w:val="both"/>
            </w:pPr>
            <w:r w:rsidRPr="00A84855">
              <w:rPr>
                <w:rFonts w:ascii="Times New Roman" w:hAnsi="Times New Roman"/>
                <w:sz w:val="24"/>
                <w:szCs w:val="24"/>
              </w:rPr>
              <w:t xml:space="preserve">Įgyvendinant šią programą per 5 metus bus parengta </w:t>
            </w:r>
            <w:r w:rsidR="00653CE8" w:rsidRPr="00A84855">
              <w:rPr>
                <w:rFonts w:ascii="Times New Roman" w:hAnsi="Times New Roman"/>
                <w:sz w:val="24"/>
                <w:szCs w:val="24"/>
              </w:rPr>
              <w:t xml:space="preserve">bent </w:t>
            </w:r>
            <w:r w:rsidRPr="00A84855">
              <w:rPr>
                <w:rFonts w:ascii="Times New Roman" w:hAnsi="Times New Roman"/>
                <w:sz w:val="24"/>
                <w:szCs w:val="24"/>
              </w:rPr>
              <w:t>10</w:t>
            </w:r>
            <w:r w:rsidR="00D91333" w:rsidRPr="00A84855">
              <w:rPr>
                <w:rFonts w:ascii="Times New Roman" w:hAnsi="Times New Roman"/>
                <w:sz w:val="24"/>
                <w:szCs w:val="24"/>
              </w:rPr>
              <w:t xml:space="preserve"> </w:t>
            </w:r>
            <w:r w:rsidRPr="00A84855">
              <w:rPr>
                <w:rFonts w:ascii="Times New Roman" w:hAnsi="Times New Roman"/>
                <w:sz w:val="24"/>
                <w:szCs w:val="24"/>
              </w:rPr>
              <w:t>publikacijų ISI WOS sąrašo leidiniuose ir 3 kituose periodiniuose recenzuojamuose mokslo leidiniuose.</w:t>
            </w:r>
            <w:r w:rsidR="00D91333" w:rsidRPr="00A84855">
              <w:rPr>
                <w:rFonts w:ascii="Times New Roman" w:hAnsi="Times New Roman"/>
                <w:sz w:val="24"/>
                <w:szCs w:val="24"/>
              </w:rPr>
              <w:t xml:space="preserve"> </w:t>
            </w:r>
            <w:r w:rsidRPr="00A84855">
              <w:rPr>
                <w:rFonts w:ascii="Times New Roman" w:hAnsi="Times New Roman"/>
                <w:bCs/>
                <w:sz w:val="24"/>
                <w:szCs w:val="24"/>
              </w:rPr>
              <w:t xml:space="preserve">Planuojama parengti </w:t>
            </w:r>
            <w:r w:rsidRPr="00A84855">
              <w:rPr>
                <w:rFonts w:ascii="Times New Roman" w:hAnsi="Times New Roman"/>
                <w:bCs/>
                <w:sz w:val="24"/>
                <w:szCs w:val="24"/>
              </w:rPr>
              <w:lastRenderedPageBreak/>
              <w:t xml:space="preserve">rekomendacijas profilaktinių programų gerinimui, pateikti </w:t>
            </w:r>
            <w:r w:rsidR="00653CE8" w:rsidRPr="00A84855">
              <w:rPr>
                <w:rFonts w:ascii="Times New Roman" w:hAnsi="Times New Roman"/>
                <w:bCs/>
                <w:sz w:val="24"/>
                <w:szCs w:val="24"/>
              </w:rPr>
              <w:t xml:space="preserve">bent 3 </w:t>
            </w:r>
            <w:r w:rsidRPr="00A84855">
              <w:rPr>
                <w:rFonts w:ascii="Times New Roman" w:hAnsi="Times New Roman"/>
                <w:bCs/>
                <w:sz w:val="24"/>
                <w:szCs w:val="24"/>
              </w:rPr>
              <w:t>paraiškas mokslo projektų finansavimui, apginti bent 2</w:t>
            </w:r>
            <w:r w:rsidR="00D91333" w:rsidRPr="00A84855">
              <w:rPr>
                <w:rFonts w:ascii="Times New Roman" w:hAnsi="Times New Roman"/>
                <w:bCs/>
                <w:sz w:val="24"/>
                <w:szCs w:val="24"/>
              </w:rPr>
              <w:t xml:space="preserve"> </w:t>
            </w:r>
            <w:r w:rsidR="00B63D6F">
              <w:rPr>
                <w:rFonts w:ascii="Times New Roman" w:hAnsi="Times New Roman"/>
                <w:bCs/>
                <w:sz w:val="24"/>
                <w:szCs w:val="24"/>
              </w:rPr>
              <w:t xml:space="preserve">mokslo </w:t>
            </w:r>
            <w:r w:rsidRPr="00A84855">
              <w:rPr>
                <w:rFonts w:ascii="Times New Roman" w:hAnsi="Times New Roman"/>
                <w:bCs/>
                <w:sz w:val="24"/>
                <w:szCs w:val="24"/>
              </w:rPr>
              <w:t>daktaro disertacijas, parengti ne mažiau 4</w:t>
            </w:r>
            <w:r w:rsidR="00D91333" w:rsidRPr="00A84855">
              <w:rPr>
                <w:rFonts w:ascii="Times New Roman" w:hAnsi="Times New Roman"/>
                <w:bCs/>
                <w:sz w:val="24"/>
                <w:szCs w:val="24"/>
              </w:rPr>
              <w:t xml:space="preserve"> </w:t>
            </w:r>
            <w:r w:rsidRPr="00A84855">
              <w:rPr>
                <w:rFonts w:ascii="Times New Roman" w:hAnsi="Times New Roman"/>
                <w:bCs/>
                <w:sz w:val="24"/>
                <w:szCs w:val="24"/>
              </w:rPr>
              <w:t>baigiamųjų studentų darbų.</w:t>
            </w:r>
          </w:p>
        </w:tc>
      </w:tr>
      <w:tr w:rsidR="00B037C6" w:rsidRPr="005A17C2" w14:paraId="732963EA" w14:textId="77777777" w:rsidTr="002C7813">
        <w:tc>
          <w:tcPr>
            <w:tcW w:w="9749" w:type="dxa"/>
          </w:tcPr>
          <w:p w14:paraId="732963BB" w14:textId="77777777" w:rsidR="00B037C6" w:rsidRPr="00A84855" w:rsidRDefault="00A84855" w:rsidP="00A84855">
            <w:pPr>
              <w:pStyle w:val="Betarp"/>
              <w:jc w:val="both"/>
              <w:rPr>
                <w:rFonts w:ascii="Times New Roman" w:hAnsi="Times New Roman"/>
                <w:b/>
                <w:sz w:val="24"/>
                <w:szCs w:val="24"/>
              </w:rPr>
            </w:pPr>
            <w:r>
              <w:rPr>
                <w:rFonts w:ascii="Times New Roman" w:hAnsi="Times New Roman"/>
                <w:b/>
                <w:sz w:val="24"/>
                <w:szCs w:val="24"/>
              </w:rPr>
              <w:lastRenderedPageBreak/>
              <w:t xml:space="preserve">    </w:t>
            </w:r>
            <w:r w:rsidR="00B037C6" w:rsidRPr="00A84855">
              <w:rPr>
                <w:rFonts w:ascii="Times New Roman" w:hAnsi="Times New Roman"/>
                <w:b/>
                <w:sz w:val="24"/>
                <w:szCs w:val="24"/>
              </w:rPr>
              <w:t>7. Rezultatų sklaidos priemonės:</w:t>
            </w:r>
          </w:p>
          <w:p w14:paraId="732963BC" w14:textId="77777777" w:rsidR="00B037C6" w:rsidRPr="005A17C2" w:rsidRDefault="00B037C6" w:rsidP="00A84855">
            <w:pPr>
              <w:pStyle w:val="Betarp"/>
              <w:jc w:val="both"/>
            </w:pPr>
            <w:r w:rsidRPr="00A84855">
              <w:rPr>
                <w:rFonts w:ascii="Times New Roman" w:hAnsi="Times New Roman"/>
                <w:sz w:val="24"/>
                <w:szCs w:val="24"/>
              </w:rPr>
              <w:t>Įgyvendinant programą per 5 metus bus parengta</w:t>
            </w:r>
            <w:r w:rsidR="005A17C2" w:rsidRPr="00A84855">
              <w:rPr>
                <w:rFonts w:ascii="Times New Roman" w:hAnsi="Times New Roman"/>
                <w:sz w:val="24"/>
                <w:szCs w:val="24"/>
              </w:rPr>
              <w:t xml:space="preserve"> bent</w:t>
            </w:r>
            <w:r w:rsidRPr="00A84855">
              <w:rPr>
                <w:rFonts w:ascii="Times New Roman" w:hAnsi="Times New Roman"/>
                <w:sz w:val="24"/>
                <w:szCs w:val="24"/>
              </w:rPr>
              <w:t xml:space="preserve"> 5</w:t>
            </w:r>
            <w:r w:rsidR="00D91333" w:rsidRPr="00A84855">
              <w:rPr>
                <w:rFonts w:ascii="Times New Roman" w:hAnsi="Times New Roman"/>
                <w:sz w:val="24"/>
                <w:szCs w:val="24"/>
              </w:rPr>
              <w:t xml:space="preserve"> </w:t>
            </w:r>
            <w:r w:rsidRPr="00A84855">
              <w:rPr>
                <w:rFonts w:ascii="Times New Roman" w:hAnsi="Times New Roman"/>
                <w:sz w:val="24"/>
                <w:szCs w:val="24"/>
              </w:rPr>
              <w:t>pranešimai</w:t>
            </w:r>
            <w:r w:rsidR="00D91333" w:rsidRPr="00A84855">
              <w:rPr>
                <w:rFonts w:ascii="Times New Roman" w:hAnsi="Times New Roman"/>
                <w:sz w:val="24"/>
                <w:szCs w:val="24"/>
              </w:rPr>
              <w:t xml:space="preserve"> </w:t>
            </w:r>
            <w:r w:rsidRPr="00A84855">
              <w:rPr>
                <w:rFonts w:ascii="Times New Roman" w:hAnsi="Times New Roman"/>
                <w:sz w:val="24"/>
                <w:szCs w:val="24"/>
              </w:rPr>
              <w:t>nacionalinėse ir tarptautinėse mokslo konferencijose, 10</w:t>
            </w:r>
            <w:r w:rsidR="00D91333" w:rsidRPr="00A84855">
              <w:rPr>
                <w:rFonts w:ascii="Times New Roman" w:hAnsi="Times New Roman"/>
                <w:sz w:val="24"/>
                <w:szCs w:val="24"/>
              </w:rPr>
              <w:t xml:space="preserve"> </w:t>
            </w:r>
            <w:r w:rsidRPr="00A84855">
              <w:rPr>
                <w:rFonts w:ascii="Times New Roman" w:hAnsi="Times New Roman"/>
                <w:sz w:val="24"/>
                <w:szCs w:val="24"/>
              </w:rPr>
              <w:t>mokslo popul</w:t>
            </w:r>
            <w:r w:rsidR="00E0373C">
              <w:rPr>
                <w:rFonts w:ascii="Times New Roman" w:hAnsi="Times New Roman"/>
                <w:sz w:val="24"/>
                <w:szCs w:val="24"/>
              </w:rPr>
              <w:t>iarinimo straipsnių, paskaitų, televizijos</w:t>
            </w:r>
            <w:r w:rsidRPr="00A84855">
              <w:rPr>
                <w:rFonts w:ascii="Times New Roman" w:hAnsi="Times New Roman"/>
                <w:sz w:val="24"/>
                <w:szCs w:val="24"/>
              </w:rPr>
              <w:t xml:space="preserve"> laidų, informacinių pranešimų Nacionalinio vėžio instituto interneto svetainėje. Rezultatai kasmet bus skelbiami tarptautinėse onkologų, </w:t>
            </w:r>
            <w:r w:rsidR="005A17C2" w:rsidRPr="00A84855">
              <w:rPr>
                <w:rFonts w:ascii="Times New Roman" w:hAnsi="Times New Roman"/>
                <w:sz w:val="24"/>
                <w:szCs w:val="24"/>
              </w:rPr>
              <w:t>epidemiologų ir</w:t>
            </w:r>
            <w:r w:rsidRPr="00A84855">
              <w:rPr>
                <w:rFonts w:ascii="Times New Roman" w:hAnsi="Times New Roman"/>
                <w:sz w:val="24"/>
                <w:szCs w:val="24"/>
              </w:rPr>
              <w:t xml:space="preserve"> kitose susijusiose mokslinėse</w:t>
            </w:r>
            <w:r w:rsidRPr="005A17C2">
              <w:t xml:space="preserve"> </w:t>
            </w:r>
            <w:r w:rsidRPr="00A84855">
              <w:rPr>
                <w:rFonts w:ascii="Times New Roman" w:hAnsi="Times New Roman"/>
                <w:sz w:val="24"/>
                <w:szCs w:val="24"/>
              </w:rPr>
              <w:t>praktinėse konferencijose.</w:t>
            </w:r>
            <w:r w:rsidRPr="005A17C2">
              <w:t xml:space="preserve"> </w:t>
            </w:r>
          </w:p>
          <w:p w14:paraId="732963BD" w14:textId="77777777" w:rsidR="005C1180" w:rsidRPr="00A84855" w:rsidRDefault="00A84855" w:rsidP="0015377B">
            <w:pPr>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sz w:val="24"/>
                <w:szCs w:val="24"/>
                <w:lang w:eastAsia="lt-LT"/>
              </w:rPr>
              <w:t xml:space="preserve">    </w:t>
            </w:r>
            <w:r w:rsidR="005C1180" w:rsidRPr="00A84855">
              <w:rPr>
                <w:rFonts w:ascii="Times New Roman" w:eastAsia="Times New Roman" w:hAnsi="Times New Roman" w:cs="Times New Roman"/>
                <w:b/>
                <w:lang w:eastAsia="lt-LT"/>
              </w:rPr>
              <w:t xml:space="preserve">8. Preliminarus programos lėšų paskirstymas (tūkst. </w:t>
            </w:r>
            <w:proofErr w:type="spellStart"/>
            <w:r w:rsidR="005C1180" w:rsidRPr="00A84855">
              <w:rPr>
                <w:rFonts w:ascii="Times New Roman" w:eastAsia="Times New Roman" w:hAnsi="Times New Roman" w:cs="Times New Roman"/>
                <w:b/>
                <w:lang w:eastAsia="lt-LT"/>
              </w:rPr>
              <w:t>Eur</w:t>
            </w:r>
            <w:proofErr w:type="spellEnd"/>
            <w:r w:rsidR="005C1180" w:rsidRPr="00A84855">
              <w:rPr>
                <w:rFonts w:ascii="Times New Roman" w:eastAsia="Times New Roman" w:hAnsi="Times New Roman" w:cs="Times New Roman"/>
                <w:b/>
                <w:lang w:eastAsia="lt-LT"/>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001"/>
              <w:gridCol w:w="1123"/>
              <w:gridCol w:w="1123"/>
              <w:gridCol w:w="1123"/>
              <w:gridCol w:w="1123"/>
              <w:gridCol w:w="1123"/>
              <w:gridCol w:w="1203"/>
            </w:tblGrid>
            <w:tr w:rsidR="005C1180" w:rsidRPr="00A84855" w14:paraId="732963C6" w14:textId="77777777" w:rsidTr="00DA3BC5">
              <w:tc>
                <w:tcPr>
                  <w:tcW w:w="575" w:type="dxa"/>
                  <w:shd w:val="clear" w:color="auto" w:fill="auto"/>
                </w:tcPr>
                <w:p w14:paraId="732963BE" w14:textId="77777777" w:rsidR="005C1180" w:rsidRPr="00A84855" w:rsidRDefault="005C1180" w:rsidP="005C1180">
                  <w:pPr>
                    <w:pStyle w:val="Sraopastraipa"/>
                    <w:spacing w:after="0" w:line="240" w:lineRule="auto"/>
                    <w:ind w:left="0"/>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 xml:space="preserve">Eil. Nr. </w:t>
                  </w:r>
                </w:p>
              </w:tc>
              <w:tc>
                <w:tcPr>
                  <w:tcW w:w="2001" w:type="dxa"/>
                  <w:shd w:val="clear" w:color="auto" w:fill="auto"/>
                </w:tcPr>
                <w:p w14:paraId="732963BF" w14:textId="77777777" w:rsidR="005C1180" w:rsidRPr="00A84855" w:rsidRDefault="005C1180" w:rsidP="005C1180">
                  <w:pPr>
                    <w:pStyle w:val="Sraopastraipa"/>
                    <w:spacing w:after="0" w:line="240" w:lineRule="auto"/>
                    <w:ind w:left="0"/>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Išlaidų pavadinimas</w:t>
                  </w:r>
                </w:p>
              </w:tc>
              <w:tc>
                <w:tcPr>
                  <w:tcW w:w="1123" w:type="dxa"/>
                  <w:shd w:val="clear" w:color="auto" w:fill="auto"/>
                </w:tcPr>
                <w:p w14:paraId="732963C0" w14:textId="77777777" w:rsidR="005C1180" w:rsidRPr="00A84855" w:rsidRDefault="005C1180" w:rsidP="00A84855">
                  <w:pPr>
                    <w:pStyle w:val="Sraopastraipa"/>
                    <w:spacing w:after="0" w:line="240" w:lineRule="auto"/>
                    <w:ind w:left="0"/>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2017 m</w:t>
                  </w:r>
                  <w:r w:rsidR="00A84855" w:rsidRPr="00A84855">
                    <w:rPr>
                      <w:rFonts w:ascii="Times New Roman" w:eastAsia="Times New Roman" w:hAnsi="Times New Roman" w:cs="Times New Roman"/>
                      <w:lang w:eastAsia="lt-LT"/>
                    </w:rPr>
                    <w:t>etai</w:t>
                  </w:r>
                </w:p>
              </w:tc>
              <w:tc>
                <w:tcPr>
                  <w:tcW w:w="1123" w:type="dxa"/>
                  <w:shd w:val="clear" w:color="auto" w:fill="auto"/>
                </w:tcPr>
                <w:p w14:paraId="732963C1" w14:textId="77777777" w:rsidR="005C1180" w:rsidRPr="00A84855" w:rsidRDefault="005C1180" w:rsidP="005C1180">
                  <w:pPr>
                    <w:pStyle w:val="Sraopastraipa"/>
                    <w:spacing w:after="0" w:line="240" w:lineRule="auto"/>
                    <w:ind w:left="0"/>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w:t>
                  </w:r>
                  <w:r w:rsidR="00A84855" w:rsidRPr="00A84855">
                    <w:rPr>
                      <w:rFonts w:ascii="Times New Roman" w:eastAsia="Times New Roman" w:hAnsi="Times New Roman" w:cs="Times New Roman"/>
                      <w:lang w:eastAsia="lt-LT"/>
                    </w:rPr>
                    <w:t>018 metai</w:t>
                  </w:r>
                </w:p>
              </w:tc>
              <w:tc>
                <w:tcPr>
                  <w:tcW w:w="1123" w:type="dxa"/>
                  <w:shd w:val="clear" w:color="auto" w:fill="auto"/>
                </w:tcPr>
                <w:p w14:paraId="732963C2" w14:textId="77777777" w:rsidR="005C1180" w:rsidRPr="00A84855" w:rsidRDefault="005C1180" w:rsidP="00A84855">
                  <w:pPr>
                    <w:pStyle w:val="Sraopastraipa"/>
                    <w:spacing w:after="0" w:line="240" w:lineRule="auto"/>
                    <w:ind w:left="0"/>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2019 m</w:t>
                  </w:r>
                  <w:r w:rsidR="00A84855" w:rsidRPr="00A84855">
                    <w:rPr>
                      <w:rFonts w:ascii="Times New Roman" w:eastAsia="Times New Roman" w:hAnsi="Times New Roman" w:cs="Times New Roman"/>
                      <w:lang w:eastAsia="lt-LT"/>
                    </w:rPr>
                    <w:t>etai</w:t>
                  </w:r>
                </w:p>
              </w:tc>
              <w:tc>
                <w:tcPr>
                  <w:tcW w:w="1123" w:type="dxa"/>
                  <w:shd w:val="clear" w:color="auto" w:fill="auto"/>
                </w:tcPr>
                <w:p w14:paraId="732963C3" w14:textId="77777777" w:rsidR="005C1180" w:rsidRPr="00A84855" w:rsidRDefault="005C1180" w:rsidP="00A84855">
                  <w:pPr>
                    <w:pStyle w:val="Sraopastraipa"/>
                    <w:spacing w:after="0" w:line="240" w:lineRule="auto"/>
                    <w:ind w:left="0"/>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2020 m</w:t>
                  </w:r>
                  <w:r w:rsidR="00A84855" w:rsidRPr="00A84855">
                    <w:rPr>
                      <w:rFonts w:ascii="Times New Roman" w:eastAsia="Times New Roman" w:hAnsi="Times New Roman" w:cs="Times New Roman"/>
                      <w:lang w:eastAsia="lt-LT"/>
                    </w:rPr>
                    <w:t>etai</w:t>
                  </w:r>
                </w:p>
              </w:tc>
              <w:tc>
                <w:tcPr>
                  <w:tcW w:w="1123" w:type="dxa"/>
                  <w:shd w:val="clear" w:color="auto" w:fill="auto"/>
                </w:tcPr>
                <w:p w14:paraId="732963C4" w14:textId="77777777" w:rsidR="005C1180" w:rsidRPr="00A84855" w:rsidRDefault="005C1180" w:rsidP="005C1180">
                  <w:pPr>
                    <w:pStyle w:val="Sraopastraipa"/>
                    <w:spacing w:after="0" w:line="240" w:lineRule="auto"/>
                    <w:ind w:left="0"/>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w:t>
                  </w:r>
                  <w:r w:rsidR="00A84855" w:rsidRPr="00A84855">
                    <w:rPr>
                      <w:rFonts w:ascii="Times New Roman" w:eastAsia="Times New Roman" w:hAnsi="Times New Roman" w:cs="Times New Roman"/>
                      <w:lang w:eastAsia="lt-LT"/>
                    </w:rPr>
                    <w:t>021 metai</w:t>
                  </w:r>
                </w:p>
              </w:tc>
              <w:tc>
                <w:tcPr>
                  <w:tcW w:w="1203" w:type="dxa"/>
                  <w:shd w:val="clear" w:color="auto" w:fill="auto"/>
                </w:tcPr>
                <w:p w14:paraId="732963C5" w14:textId="77777777" w:rsidR="005C1180" w:rsidRPr="00A84855" w:rsidRDefault="005C1180" w:rsidP="005C1180">
                  <w:pPr>
                    <w:pStyle w:val="Sraopastraipa"/>
                    <w:spacing w:after="0" w:line="240" w:lineRule="auto"/>
                    <w:ind w:left="0"/>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Visai programai (suma)</w:t>
                  </w:r>
                </w:p>
              </w:tc>
            </w:tr>
            <w:tr w:rsidR="00885B6C" w:rsidRPr="00A84855" w14:paraId="732963D5" w14:textId="77777777" w:rsidTr="00DA3BC5">
              <w:tc>
                <w:tcPr>
                  <w:tcW w:w="575" w:type="dxa"/>
                  <w:shd w:val="clear" w:color="auto" w:fill="auto"/>
                </w:tcPr>
                <w:p w14:paraId="732963C7" w14:textId="77777777" w:rsidR="00885B6C" w:rsidRPr="00A84855" w:rsidRDefault="00885B6C" w:rsidP="00885B6C">
                  <w:pPr>
                    <w:pStyle w:val="Sraopastraipa"/>
                    <w:spacing w:after="0" w:line="240" w:lineRule="auto"/>
                    <w:ind w:left="0"/>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1.</w:t>
                  </w:r>
                </w:p>
              </w:tc>
              <w:tc>
                <w:tcPr>
                  <w:tcW w:w="2001" w:type="dxa"/>
                  <w:shd w:val="clear" w:color="auto" w:fill="auto"/>
                </w:tcPr>
                <w:p w14:paraId="732963C8" w14:textId="77777777" w:rsidR="00885B6C" w:rsidRPr="00A84855" w:rsidRDefault="00885B6C" w:rsidP="00885B6C">
                  <w:pPr>
                    <w:pStyle w:val="Sraopastraipa"/>
                    <w:spacing w:after="0" w:line="240" w:lineRule="auto"/>
                    <w:ind w:left="0"/>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Programai skirti norminiai etatai, lėšos</w:t>
                  </w:r>
                </w:p>
              </w:tc>
              <w:tc>
                <w:tcPr>
                  <w:tcW w:w="1123" w:type="dxa"/>
                  <w:shd w:val="clear" w:color="auto" w:fill="auto"/>
                </w:tcPr>
                <w:p w14:paraId="732963C9" w14:textId="77777777" w:rsidR="00A84855" w:rsidRDefault="00885B6C" w:rsidP="00885B6C">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6,2</w:t>
                  </w:r>
                </w:p>
                <w:p w14:paraId="732963CA" w14:textId="77777777" w:rsidR="00885B6C" w:rsidRPr="00A84855" w:rsidRDefault="00885B6C" w:rsidP="00885B6C">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59,3</w:t>
                  </w:r>
                </w:p>
              </w:tc>
              <w:tc>
                <w:tcPr>
                  <w:tcW w:w="1123" w:type="dxa"/>
                  <w:shd w:val="clear" w:color="auto" w:fill="auto"/>
                </w:tcPr>
                <w:p w14:paraId="732963CB" w14:textId="77777777" w:rsidR="00A84855" w:rsidRDefault="00885B6C" w:rsidP="00885B6C">
                  <w:pP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6,2</w:t>
                  </w:r>
                </w:p>
                <w:p w14:paraId="732963CC" w14:textId="77777777" w:rsidR="00885B6C" w:rsidRPr="00A84855" w:rsidRDefault="00885B6C" w:rsidP="00885B6C">
                  <w:r w:rsidRPr="00A84855">
                    <w:rPr>
                      <w:rFonts w:ascii="Times New Roman" w:eastAsia="Times New Roman" w:hAnsi="Times New Roman" w:cs="Times New Roman"/>
                      <w:lang w:eastAsia="lt-LT"/>
                    </w:rPr>
                    <w:t>59,3</w:t>
                  </w:r>
                </w:p>
              </w:tc>
              <w:tc>
                <w:tcPr>
                  <w:tcW w:w="1123" w:type="dxa"/>
                  <w:shd w:val="clear" w:color="auto" w:fill="auto"/>
                </w:tcPr>
                <w:p w14:paraId="732963CD" w14:textId="77777777" w:rsidR="00A84855" w:rsidRDefault="00A84855" w:rsidP="00885B6C">
                  <w:pPr>
                    <w:rPr>
                      <w:rFonts w:ascii="Times New Roman" w:eastAsia="Times New Roman" w:hAnsi="Times New Roman" w:cs="Times New Roman"/>
                      <w:lang w:eastAsia="lt-LT"/>
                    </w:rPr>
                  </w:pPr>
                  <w:r>
                    <w:rPr>
                      <w:rFonts w:ascii="Times New Roman" w:eastAsia="Times New Roman" w:hAnsi="Times New Roman" w:cs="Times New Roman"/>
                      <w:lang w:eastAsia="lt-LT"/>
                    </w:rPr>
                    <w:t>6,2</w:t>
                  </w:r>
                </w:p>
                <w:p w14:paraId="732963CE" w14:textId="77777777" w:rsidR="00885B6C" w:rsidRPr="00A84855" w:rsidRDefault="00885B6C" w:rsidP="00885B6C">
                  <w:r w:rsidRPr="00A84855">
                    <w:rPr>
                      <w:rFonts w:ascii="Times New Roman" w:eastAsia="Times New Roman" w:hAnsi="Times New Roman" w:cs="Times New Roman"/>
                      <w:lang w:eastAsia="lt-LT"/>
                    </w:rPr>
                    <w:t>59,3</w:t>
                  </w:r>
                </w:p>
              </w:tc>
              <w:tc>
                <w:tcPr>
                  <w:tcW w:w="1123" w:type="dxa"/>
                  <w:shd w:val="clear" w:color="auto" w:fill="auto"/>
                </w:tcPr>
                <w:p w14:paraId="732963CF" w14:textId="77777777" w:rsidR="00A84855" w:rsidRDefault="00A84855" w:rsidP="00885B6C">
                  <w:pPr>
                    <w:rPr>
                      <w:rFonts w:ascii="Times New Roman" w:eastAsia="Times New Roman" w:hAnsi="Times New Roman" w:cs="Times New Roman"/>
                      <w:lang w:eastAsia="lt-LT"/>
                    </w:rPr>
                  </w:pPr>
                  <w:r>
                    <w:rPr>
                      <w:rFonts w:ascii="Times New Roman" w:eastAsia="Times New Roman" w:hAnsi="Times New Roman" w:cs="Times New Roman"/>
                      <w:lang w:eastAsia="lt-LT"/>
                    </w:rPr>
                    <w:t>6,2</w:t>
                  </w:r>
                </w:p>
                <w:p w14:paraId="732963D0" w14:textId="77777777" w:rsidR="00885B6C" w:rsidRPr="00A84855" w:rsidRDefault="00885B6C" w:rsidP="00885B6C">
                  <w:r w:rsidRPr="00A84855">
                    <w:rPr>
                      <w:rFonts w:ascii="Times New Roman" w:eastAsia="Times New Roman" w:hAnsi="Times New Roman" w:cs="Times New Roman"/>
                      <w:lang w:eastAsia="lt-LT"/>
                    </w:rPr>
                    <w:t>59,3</w:t>
                  </w:r>
                </w:p>
              </w:tc>
              <w:tc>
                <w:tcPr>
                  <w:tcW w:w="1123" w:type="dxa"/>
                  <w:shd w:val="clear" w:color="auto" w:fill="auto"/>
                </w:tcPr>
                <w:p w14:paraId="732963D1" w14:textId="77777777" w:rsidR="00A84855" w:rsidRDefault="00A84855" w:rsidP="00885B6C">
                  <w:pPr>
                    <w:rPr>
                      <w:rFonts w:ascii="Times New Roman" w:eastAsia="Times New Roman" w:hAnsi="Times New Roman" w:cs="Times New Roman"/>
                      <w:lang w:eastAsia="lt-LT"/>
                    </w:rPr>
                  </w:pPr>
                  <w:r>
                    <w:rPr>
                      <w:rFonts w:ascii="Times New Roman" w:eastAsia="Times New Roman" w:hAnsi="Times New Roman" w:cs="Times New Roman"/>
                      <w:lang w:eastAsia="lt-LT"/>
                    </w:rPr>
                    <w:t>6,2</w:t>
                  </w:r>
                </w:p>
                <w:p w14:paraId="732963D2" w14:textId="77777777" w:rsidR="00885B6C" w:rsidRPr="00A84855" w:rsidRDefault="00885B6C" w:rsidP="00885B6C">
                  <w:r w:rsidRPr="00A84855">
                    <w:rPr>
                      <w:rFonts w:ascii="Times New Roman" w:eastAsia="Times New Roman" w:hAnsi="Times New Roman" w:cs="Times New Roman"/>
                      <w:lang w:eastAsia="lt-LT"/>
                    </w:rPr>
                    <w:t>59,3</w:t>
                  </w:r>
                </w:p>
              </w:tc>
              <w:tc>
                <w:tcPr>
                  <w:tcW w:w="1203" w:type="dxa"/>
                  <w:shd w:val="clear" w:color="auto" w:fill="auto"/>
                </w:tcPr>
                <w:p w14:paraId="732963D3" w14:textId="77777777" w:rsidR="00A84855" w:rsidRDefault="00A84855" w:rsidP="00885B6C">
                  <w:pPr>
                    <w:jc w:val="center"/>
                    <w:rPr>
                      <w:rFonts w:ascii="Times New Roman" w:eastAsia="Times New Roman" w:hAnsi="Times New Roman" w:cs="Times New Roman"/>
                      <w:lang w:eastAsia="lt-LT"/>
                    </w:rPr>
                  </w:pPr>
                </w:p>
                <w:p w14:paraId="732963D4" w14:textId="77777777" w:rsidR="00885B6C" w:rsidRPr="00A84855" w:rsidRDefault="00885B6C" w:rsidP="00885B6C">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296,5</w:t>
                  </w:r>
                </w:p>
              </w:tc>
            </w:tr>
            <w:tr w:rsidR="00885B6C" w:rsidRPr="00A84855" w14:paraId="732963DF" w14:textId="77777777" w:rsidTr="00DA3BC5">
              <w:tc>
                <w:tcPr>
                  <w:tcW w:w="575" w:type="dxa"/>
                  <w:shd w:val="clear" w:color="auto" w:fill="auto"/>
                </w:tcPr>
                <w:p w14:paraId="732963D6" w14:textId="77777777" w:rsidR="00885B6C" w:rsidRPr="00A84855" w:rsidRDefault="00885B6C" w:rsidP="00885B6C">
                  <w:pPr>
                    <w:pStyle w:val="Sraopastraipa"/>
                    <w:spacing w:after="0" w:line="240" w:lineRule="auto"/>
                    <w:ind w:left="0"/>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w:t>
                  </w:r>
                </w:p>
              </w:tc>
              <w:tc>
                <w:tcPr>
                  <w:tcW w:w="2001" w:type="dxa"/>
                  <w:shd w:val="clear" w:color="auto" w:fill="auto"/>
                </w:tcPr>
                <w:p w14:paraId="732963D7" w14:textId="77777777" w:rsidR="00885B6C" w:rsidRPr="00A84855" w:rsidRDefault="00885B6C" w:rsidP="00885B6C">
                  <w:pPr>
                    <w:pStyle w:val="Sraopastraipa"/>
                    <w:spacing w:after="0" w:line="240" w:lineRule="auto"/>
                    <w:ind w:left="0"/>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Kitos lėšos planuojamos programai vykdyti (iš kitų, Institutui skirtų Valstybės biudžeto bazinio</w:t>
                  </w:r>
                </w:p>
                <w:p w14:paraId="732963D8" w14:textId="77777777" w:rsidR="00885B6C" w:rsidRPr="00A84855" w:rsidRDefault="00885B6C" w:rsidP="00885B6C">
                  <w:pPr>
                    <w:pStyle w:val="Sraopastraipa"/>
                    <w:spacing w:after="0" w:line="240" w:lineRule="auto"/>
                    <w:ind w:left="0"/>
                    <w:jc w:val="both"/>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 xml:space="preserve"> finansavimo lėšų)</w:t>
                  </w:r>
                </w:p>
              </w:tc>
              <w:tc>
                <w:tcPr>
                  <w:tcW w:w="1123" w:type="dxa"/>
                  <w:shd w:val="clear" w:color="auto" w:fill="auto"/>
                </w:tcPr>
                <w:p w14:paraId="732963D9" w14:textId="77777777" w:rsidR="00885B6C" w:rsidRPr="00A84855" w:rsidRDefault="00885B6C" w:rsidP="00885B6C">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24,5</w:t>
                  </w:r>
                </w:p>
              </w:tc>
              <w:tc>
                <w:tcPr>
                  <w:tcW w:w="1123" w:type="dxa"/>
                  <w:shd w:val="clear" w:color="auto" w:fill="auto"/>
                </w:tcPr>
                <w:p w14:paraId="732963DA" w14:textId="77777777" w:rsidR="00885B6C" w:rsidRPr="00A84855" w:rsidRDefault="00885B6C" w:rsidP="00885B6C">
                  <w:pPr>
                    <w:jc w:val="center"/>
                  </w:pPr>
                  <w:r w:rsidRPr="00A84855">
                    <w:rPr>
                      <w:rFonts w:ascii="Times New Roman" w:eastAsia="Times New Roman" w:hAnsi="Times New Roman" w:cs="Times New Roman"/>
                      <w:lang w:eastAsia="lt-LT"/>
                    </w:rPr>
                    <w:t>24,5</w:t>
                  </w:r>
                </w:p>
              </w:tc>
              <w:tc>
                <w:tcPr>
                  <w:tcW w:w="1123" w:type="dxa"/>
                  <w:shd w:val="clear" w:color="auto" w:fill="auto"/>
                </w:tcPr>
                <w:p w14:paraId="732963DB" w14:textId="77777777" w:rsidR="00885B6C" w:rsidRPr="00A84855" w:rsidRDefault="00885B6C" w:rsidP="00885B6C">
                  <w:pPr>
                    <w:jc w:val="center"/>
                  </w:pPr>
                  <w:r w:rsidRPr="00A84855">
                    <w:rPr>
                      <w:rFonts w:ascii="Times New Roman" w:eastAsia="Times New Roman" w:hAnsi="Times New Roman" w:cs="Times New Roman"/>
                      <w:lang w:eastAsia="lt-LT"/>
                    </w:rPr>
                    <w:t>24,5</w:t>
                  </w:r>
                </w:p>
              </w:tc>
              <w:tc>
                <w:tcPr>
                  <w:tcW w:w="1123" w:type="dxa"/>
                  <w:shd w:val="clear" w:color="auto" w:fill="auto"/>
                </w:tcPr>
                <w:p w14:paraId="732963DC" w14:textId="77777777" w:rsidR="00885B6C" w:rsidRPr="00A84855" w:rsidRDefault="00885B6C" w:rsidP="00885B6C">
                  <w:pPr>
                    <w:jc w:val="center"/>
                  </w:pPr>
                  <w:r w:rsidRPr="00A84855">
                    <w:rPr>
                      <w:rFonts w:ascii="Times New Roman" w:eastAsia="Times New Roman" w:hAnsi="Times New Roman" w:cs="Times New Roman"/>
                      <w:lang w:eastAsia="lt-LT"/>
                    </w:rPr>
                    <w:t>24,5</w:t>
                  </w:r>
                </w:p>
              </w:tc>
              <w:tc>
                <w:tcPr>
                  <w:tcW w:w="1123" w:type="dxa"/>
                  <w:shd w:val="clear" w:color="auto" w:fill="auto"/>
                </w:tcPr>
                <w:p w14:paraId="732963DD" w14:textId="77777777" w:rsidR="00885B6C" w:rsidRPr="00A84855" w:rsidRDefault="00885B6C" w:rsidP="00885B6C">
                  <w:pPr>
                    <w:jc w:val="center"/>
                  </w:pPr>
                  <w:r w:rsidRPr="00A84855">
                    <w:rPr>
                      <w:rFonts w:ascii="Times New Roman" w:eastAsia="Times New Roman" w:hAnsi="Times New Roman" w:cs="Times New Roman"/>
                      <w:lang w:eastAsia="lt-LT"/>
                    </w:rPr>
                    <w:t>24,5</w:t>
                  </w:r>
                </w:p>
              </w:tc>
              <w:tc>
                <w:tcPr>
                  <w:tcW w:w="1203" w:type="dxa"/>
                  <w:shd w:val="clear" w:color="auto" w:fill="auto"/>
                </w:tcPr>
                <w:p w14:paraId="732963DE" w14:textId="77777777" w:rsidR="00885B6C" w:rsidRPr="00A84855" w:rsidRDefault="00885B6C" w:rsidP="00885B6C">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122,5</w:t>
                  </w:r>
                </w:p>
              </w:tc>
            </w:tr>
            <w:tr w:rsidR="00885B6C" w:rsidRPr="00A84855" w14:paraId="732963E8" w14:textId="77777777" w:rsidTr="00DA3BC5">
              <w:tc>
                <w:tcPr>
                  <w:tcW w:w="575" w:type="dxa"/>
                  <w:shd w:val="clear" w:color="auto" w:fill="auto"/>
                </w:tcPr>
                <w:p w14:paraId="732963E0" w14:textId="77777777" w:rsidR="00885B6C" w:rsidRPr="00A84855" w:rsidRDefault="00885B6C" w:rsidP="00885B6C">
                  <w:pPr>
                    <w:pStyle w:val="Sraopastraipa"/>
                    <w:spacing w:after="0" w:line="240" w:lineRule="auto"/>
                    <w:ind w:left="0"/>
                    <w:jc w:val="both"/>
                    <w:rPr>
                      <w:rFonts w:ascii="Times New Roman" w:eastAsia="Times New Roman" w:hAnsi="Times New Roman" w:cs="Times New Roman"/>
                      <w:lang w:eastAsia="lt-LT"/>
                    </w:rPr>
                  </w:pPr>
                </w:p>
              </w:tc>
              <w:tc>
                <w:tcPr>
                  <w:tcW w:w="2001" w:type="dxa"/>
                  <w:shd w:val="clear" w:color="auto" w:fill="auto"/>
                </w:tcPr>
                <w:p w14:paraId="732963E1" w14:textId="77777777" w:rsidR="00885B6C" w:rsidRPr="00A84855" w:rsidRDefault="00885B6C" w:rsidP="00885B6C">
                  <w:pPr>
                    <w:pStyle w:val="Sraopastraipa"/>
                    <w:spacing w:after="0" w:line="240" w:lineRule="auto"/>
                    <w:ind w:left="0"/>
                    <w:jc w:val="right"/>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Iš viso:</w:t>
                  </w:r>
                </w:p>
              </w:tc>
              <w:tc>
                <w:tcPr>
                  <w:tcW w:w="1123" w:type="dxa"/>
                  <w:shd w:val="clear" w:color="auto" w:fill="auto"/>
                </w:tcPr>
                <w:p w14:paraId="732963E2" w14:textId="77777777" w:rsidR="00885B6C" w:rsidRPr="00A84855" w:rsidRDefault="00885B6C" w:rsidP="00885B6C">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83,8</w:t>
                  </w:r>
                </w:p>
              </w:tc>
              <w:tc>
                <w:tcPr>
                  <w:tcW w:w="1123" w:type="dxa"/>
                  <w:shd w:val="clear" w:color="auto" w:fill="auto"/>
                </w:tcPr>
                <w:p w14:paraId="732963E3" w14:textId="77777777" w:rsidR="00885B6C" w:rsidRPr="00A84855" w:rsidRDefault="00885B6C" w:rsidP="00885B6C">
                  <w:pPr>
                    <w:jc w:val="center"/>
                    <w:rPr>
                      <w:rFonts w:ascii="Times New Roman" w:hAnsi="Times New Roman" w:cs="Times New Roman"/>
                    </w:rPr>
                  </w:pPr>
                  <w:r w:rsidRPr="00A84855">
                    <w:rPr>
                      <w:rFonts w:ascii="Times New Roman" w:eastAsia="Times New Roman" w:hAnsi="Times New Roman" w:cs="Times New Roman"/>
                      <w:lang w:eastAsia="lt-LT"/>
                    </w:rPr>
                    <w:t>83,8</w:t>
                  </w:r>
                </w:p>
              </w:tc>
              <w:tc>
                <w:tcPr>
                  <w:tcW w:w="1123" w:type="dxa"/>
                  <w:shd w:val="clear" w:color="auto" w:fill="auto"/>
                </w:tcPr>
                <w:p w14:paraId="732963E4" w14:textId="77777777" w:rsidR="00885B6C" w:rsidRPr="00A84855" w:rsidRDefault="00885B6C" w:rsidP="00885B6C">
                  <w:pPr>
                    <w:jc w:val="center"/>
                    <w:rPr>
                      <w:rFonts w:ascii="Times New Roman" w:hAnsi="Times New Roman" w:cs="Times New Roman"/>
                    </w:rPr>
                  </w:pPr>
                  <w:r w:rsidRPr="00A84855">
                    <w:rPr>
                      <w:rFonts w:ascii="Times New Roman" w:eastAsia="Times New Roman" w:hAnsi="Times New Roman" w:cs="Times New Roman"/>
                      <w:lang w:eastAsia="lt-LT"/>
                    </w:rPr>
                    <w:t>83,8</w:t>
                  </w:r>
                </w:p>
              </w:tc>
              <w:tc>
                <w:tcPr>
                  <w:tcW w:w="1123" w:type="dxa"/>
                  <w:shd w:val="clear" w:color="auto" w:fill="auto"/>
                </w:tcPr>
                <w:p w14:paraId="732963E5" w14:textId="77777777" w:rsidR="00885B6C" w:rsidRPr="00A84855" w:rsidRDefault="00885B6C" w:rsidP="00885B6C">
                  <w:pPr>
                    <w:jc w:val="center"/>
                    <w:rPr>
                      <w:rFonts w:ascii="Times New Roman" w:hAnsi="Times New Roman" w:cs="Times New Roman"/>
                    </w:rPr>
                  </w:pPr>
                  <w:r w:rsidRPr="00A84855">
                    <w:rPr>
                      <w:rFonts w:ascii="Times New Roman" w:eastAsia="Times New Roman" w:hAnsi="Times New Roman" w:cs="Times New Roman"/>
                      <w:lang w:eastAsia="lt-LT"/>
                    </w:rPr>
                    <w:t>83,8</w:t>
                  </w:r>
                </w:p>
              </w:tc>
              <w:tc>
                <w:tcPr>
                  <w:tcW w:w="1123" w:type="dxa"/>
                  <w:shd w:val="clear" w:color="auto" w:fill="auto"/>
                </w:tcPr>
                <w:p w14:paraId="732963E6" w14:textId="77777777" w:rsidR="00885B6C" w:rsidRPr="00A84855" w:rsidRDefault="00885B6C" w:rsidP="00885B6C">
                  <w:pPr>
                    <w:jc w:val="center"/>
                    <w:rPr>
                      <w:rFonts w:ascii="Times New Roman" w:hAnsi="Times New Roman" w:cs="Times New Roman"/>
                    </w:rPr>
                  </w:pPr>
                  <w:r w:rsidRPr="00A84855">
                    <w:rPr>
                      <w:rFonts w:ascii="Times New Roman" w:eastAsia="Times New Roman" w:hAnsi="Times New Roman" w:cs="Times New Roman"/>
                      <w:lang w:eastAsia="lt-LT"/>
                    </w:rPr>
                    <w:t>83,8</w:t>
                  </w:r>
                </w:p>
              </w:tc>
              <w:tc>
                <w:tcPr>
                  <w:tcW w:w="1203" w:type="dxa"/>
                  <w:shd w:val="clear" w:color="auto" w:fill="auto"/>
                </w:tcPr>
                <w:p w14:paraId="732963E7" w14:textId="77777777" w:rsidR="00885B6C" w:rsidRPr="00A84855" w:rsidRDefault="00885B6C" w:rsidP="00885B6C">
                  <w:pPr>
                    <w:jc w:val="center"/>
                    <w:rPr>
                      <w:rFonts w:ascii="Times New Roman" w:eastAsia="Times New Roman" w:hAnsi="Times New Roman" w:cs="Times New Roman"/>
                      <w:lang w:eastAsia="lt-LT"/>
                    </w:rPr>
                  </w:pPr>
                  <w:r w:rsidRPr="00A84855">
                    <w:rPr>
                      <w:rFonts w:ascii="Times New Roman" w:eastAsia="Times New Roman" w:hAnsi="Times New Roman" w:cs="Times New Roman"/>
                      <w:lang w:eastAsia="lt-LT"/>
                    </w:rPr>
                    <w:t>419,0</w:t>
                  </w:r>
                </w:p>
              </w:tc>
            </w:tr>
          </w:tbl>
          <w:p w14:paraId="732963E9" w14:textId="77777777" w:rsidR="005C1180" w:rsidRPr="005A17C2" w:rsidRDefault="005C1180" w:rsidP="002C7813">
            <w:pPr>
              <w:jc w:val="both"/>
              <w:rPr>
                <w:rFonts w:ascii="Times New Roman" w:eastAsia="Times New Roman" w:hAnsi="Times New Roman" w:cs="Times New Roman"/>
                <w:sz w:val="24"/>
                <w:szCs w:val="24"/>
                <w:highlight w:val="yellow"/>
                <w:lang w:eastAsia="lt-LT"/>
              </w:rPr>
            </w:pPr>
          </w:p>
        </w:tc>
      </w:tr>
      <w:tr w:rsidR="00DA3BC5" w:rsidRPr="005A17C2" w14:paraId="732963EC" w14:textId="77777777" w:rsidTr="00DA3BC5">
        <w:tc>
          <w:tcPr>
            <w:tcW w:w="9749" w:type="dxa"/>
          </w:tcPr>
          <w:p w14:paraId="732963EB" w14:textId="77777777" w:rsidR="00DA3BC5" w:rsidRPr="005A17C2" w:rsidRDefault="00DA3BC5" w:rsidP="00CC3B5C">
            <w:pPr>
              <w:spacing w:after="0" w:line="240" w:lineRule="auto"/>
              <w:jc w:val="both"/>
              <w:rPr>
                <w:rFonts w:ascii="Times New Roman" w:eastAsia="Times New Roman" w:hAnsi="Times New Roman" w:cs="Times New Roman"/>
                <w:b/>
                <w:sz w:val="24"/>
                <w:szCs w:val="24"/>
                <w:lang w:eastAsia="lt-LT"/>
              </w:rPr>
            </w:pPr>
            <w:r w:rsidRPr="005A17C2">
              <w:rPr>
                <w:rFonts w:ascii="Times New Roman" w:eastAsia="Times New Roman" w:hAnsi="Times New Roman" w:cs="Times New Roman"/>
                <w:b/>
                <w:sz w:val="24"/>
                <w:szCs w:val="24"/>
                <w:lang w:eastAsia="lt-LT"/>
              </w:rPr>
              <w:t xml:space="preserve">9. Programos trukmė: </w:t>
            </w:r>
            <w:r w:rsidRPr="005A17C2">
              <w:rPr>
                <w:rFonts w:ascii="Times New Roman" w:eastAsia="Times New Roman" w:hAnsi="Times New Roman" w:cs="Times New Roman"/>
                <w:sz w:val="24"/>
                <w:szCs w:val="24"/>
                <w:lang w:eastAsia="lt-LT"/>
              </w:rPr>
              <w:t>2017-2021 metai</w:t>
            </w:r>
          </w:p>
        </w:tc>
      </w:tr>
      <w:tr w:rsidR="00DA3BC5" w:rsidRPr="005A17C2" w14:paraId="732963F0" w14:textId="77777777" w:rsidTr="00DA3BC5">
        <w:tc>
          <w:tcPr>
            <w:tcW w:w="9749" w:type="dxa"/>
          </w:tcPr>
          <w:p w14:paraId="732963ED" w14:textId="77777777" w:rsidR="00DA3BC5" w:rsidRPr="005A17C2" w:rsidRDefault="00F63ABC" w:rsidP="00F63ABC">
            <w:pPr>
              <w:spacing w:after="0" w:line="240" w:lineRule="auto"/>
              <w:jc w:val="both"/>
              <w:rPr>
                <w:rFonts w:ascii="Times New Roman" w:eastAsia="Times New Roman" w:hAnsi="Times New Roman" w:cs="Times New Roman"/>
                <w:b/>
                <w:sz w:val="24"/>
                <w:szCs w:val="24"/>
                <w:lang w:eastAsia="lt-LT"/>
              </w:rPr>
            </w:pPr>
            <w:r w:rsidRPr="005A17C2">
              <w:rPr>
                <w:rFonts w:ascii="Times New Roman" w:eastAsia="Times New Roman" w:hAnsi="Times New Roman" w:cs="Times New Roman"/>
                <w:b/>
                <w:sz w:val="24"/>
                <w:szCs w:val="24"/>
                <w:lang w:eastAsia="lt-LT"/>
              </w:rPr>
              <w:t xml:space="preserve">10. </w:t>
            </w:r>
            <w:r w:rsidR="00DA3BC5" w:rsidRPr="005A17C2">
              <w:rPr>
                <w:rFonts w:ascii="Times New Roman" w:eastAsia="Times New Roman" w:hAnsi="Times New Roman" w:cs="Times New Roman"/>
                <w:b/>
                <w:sz w:val="24"/>
                <w:szCs w:val="24"/>
                <w:lang w:eastAsia="lt-LT"/>
              </w:rPr>
              <w:t>Programos vadovai:</w:t>
            </w:r>
          </w:p>
          <w:p w14:paraId="732963EE" w14:textId="77777777" w:rsidR="00F63ABC" w:rsidRPr="00295A36" w:rsidRDefault="00F63ABC" w:rsidP="00F63ABC">
            <w:pPr>
              <w:jc w:val="both"/>
              <w:rPr>
                <w:rFonts w:ascii="Times New Roman" w:hAnsi="Times New Roman" w:cs="Times New Roman"/>
                <w:sz w:val="24"/>
                <w:szCs w:val="24"/>
              </w:rPr>
            </w:pPr>
            <w:r w:rsidRPr="00295A36">
              <w:rPr>
                <w:rFonts w:ascii="Times New Roman" w:eastAsia="Times New Roman" w:hAnsi="Times New Roman" w:cs="Times New Roman"/>
                <w:sz w:val="24"/>
                <w:szCs w:val="24"/>
                <w:lang w:eastAsia="lt-LT"/>
              </w:rPr>
              <w:t xml:space="preserve">Dr. Giedrė Smailytė, Vėžio epidemiologijos laboratorijos vedėja, vyriausioji mokslo darbuotoja, tel.: (8 5) 219 0911, </w:t>
            </w:r>
            <w:proofErr w:type="spellStart"/>
            <w:r w:rsidRPr="00295A36">
              <w:rPr>
                <w:rFonts w:ascii="Times New Roman" w:eastAsia="Times New Roman" w:hAnsi="Times New Roman" w:cs="Times New Roman"/>
                <w:sz w:val="24"/>
                <w:szCs w:val="24"/>
                <w:lang w:eastAsia="lt-LT"/>
              </w:rPr>
              <w:t>el.p</w:t>
            </w:r>
            <w:proofErr w:type="spellEnd"/>
            <w:r w:rsidRPr="00295A36">
              <w:rPr>
                <w:rFonts w:ascii="Times New Roman" w:eastAsia="Times New Roman" w:hAnsi="Times New Roman" w:cs="Times New Roman"/>
                <w:sz w:val="24"/>
                <w:szCs w:val="24"/>
                <w:lang w:eastAsia="lt-LT"/>
              </w:rPr>
              <w:t xml:space="preserve">.: </w:t>
            </w:r>
            <w:hyperlink r:id="rId11" w:history="1">
              <w:r w:rsidRPr="00295A36">
                <w:rPr>
                  <w:rStyle w:val="Hipersaitas"/>
                  <w:rFonts w:ascii="Times New Roman" w:eastAsia="Times New Roman" w:hAnsi="Times New Roman" w:cs="Times New Roman"/>
                  <w:sz w:val="24"/>
                  <w:szCs w:val="24"/>
                  <w:lang w:eastAsia="lt-LT"/>
                </w:rPr>
                <w:t>giedre.smailyte@nvi.lt</w:t>
              </w:r>
            </w:hyperlink>
            <w:r w:rsidRPr="00295A36">
              <w:rPr>
                <w:rFonts w:ascii="Times New Roman" w:hAnsi="Times New Roman" w:cs="Times New Roman"/>
                <w:sz w:val="24"/>
                <w:szCs w:val="24"/>
              </w:rPr>
              <w:t>;</w:t>
            </w:r>
          </w:p>
          <w:p w14:paraId="732963EF" w14:textId="77777777" w:rsidR="00DA3BC5" w:rsidRPr="005A17C2" w:rsidRDefault="00F63ABC" w:rsidP="00F63ABC">
            <w:pPr>
              <w:spacing w:after="0" w:line="240" w:lineRule="auto"/>
              <w:ind w:left="29"/>
              <w:jc w:val="both"/>
              <w:rPr>
                <w:rFonts w:ascii="Times New Roman" w:eastAsia="Times New Roman" w:hAnsi="Times New Roman" w:cs="Times New Roman"/>
                <w:sz w:val="24"/>
                <w:szCs w:val="24"/>
                <w:lang w:eastAsia="lt-LT"/>
              </w:rPr>
            </w:pPr>
            <w:r w:rsidRPr="00295A36">
              <w:rPr>
                <w:rFonts w:ascii="Times New Roman" w:hAnsi="Times New Roman" w:cs="Times New Roman"/>
                <w:sz w:val="24"/>
                <w:szCs w:val="24"/>
              </w:rPr>
              <w:t xml:space="preserve">Prof. </w:t>
            </w:r>
            <w:r w:rsidR="00564A86" w:rsidRPr="00295A36">
              <w:rPr>
                <w:rFonts w:ascii="Times New Roman" w:hAnsi="Times New Roman" w:cs="Times New Roman"/>
                <w:sz w:val="24"/>
                <w:szCs w:val="24"/>
              </w:rPr>
              <w:t xml:space="preserve">Habil. dr. </w:t>
            </w:r>
            <w:r w:rsidRPr="00295A36">
              <w:rPr>
                <w:rFonts w:ascii="Times New Roman" w:hAnsi="Times New Roman" w:cs="Times New Roman"/>
                <w:sz w:val="24"/>
                <w:szCs w:val="24"/>
              </w:rPr>
              <w:t>Konstantinas Povilas Valuckas, Klinikinio</w:t>
            </w:r>
            <w:r w:rsidRPr="005A17C2">
              <w:rPr>
                <w:rFonts w:ascii="Times New Roman" w:hAnsi="Times New Roman" w:cs="Times New Roman"/>
                <w:sz w:val="24"/>
                <w:szCs w:val="24"/>
              </w:rPr>
              <w:t xml:space="preserve"> onkologijos tyrimų centro vadovas, vyriausiasis mokslo darbuotojas, tel.: (8 5) 278 6701, el. p.: </w:t>
            </w:r>
            <w:hyperlink r:id="rId12" w:history="1">
              <w:r w:rsidRPr="005A17C2">
                <w:rPr>
                  <w:rStyle w:val="Hipersaitas"/>
                  <w:rFonts w:ascii="Times New Roman" w:hAnsi="Times New Roman" w:cs="Times New Roman"/>
                  <w:sz w:val="24"/>
                  <w:szCs w:val="24"/>
                </w:rPr>
                <w:t>konstantinas.valuckas@nvi.lt</w:t>
              </w:r>
            </w:hyperlink>
          </w:p>
        </w:tc>
      </w:tr>
    </w:tbl>
    <w:p w14:paraId="732963F1" w14:textId="77777777" w:rsidR="00653CE8" w:rsidRDefault="00653CE8" w:rsidP="00B037C6">
      <w:pPr>
        <w:spacing w:after="0" w:line="240" w:lineRule="auto"/>
        <w:jc w:val="both"/>
        <w:rPr>
          <w:rFonts w:ascii="Times New Roman" w:eastAsia="Times New Roman" w:hAnsi="Times New Roman" w:cs="Times New Roman"/>
          <w:b/>
          <w:sz w:val="24"/>
          <w:szCs w:val="24"/>
          <w:lang w:eastAsia="lt-LT"/>
        </w:rPr>
      </w:pPr>
    </w:p>
    <w:p w14:paraId="732963F2" w14:textId="77777777" w:rsidR="008D528F" w:rsidRDefault="0015377B" w:rsidP="0015377B">
      <w:pPr>
        <w:tabs>
          <w:tab w:val="left" w:pos="1134"/>
        </w:tabs>
        <w:spacing w:after="0" w:line="240" w:lineRule="auto"/>
        <w:ind w:firstLine="851"/>
        <w:jc w:val="center"/>
        <w:rPr>
          <w:rFonts w:ascii="Times New Roman" w:eastAsia="Times New Roman" w:hAnsi="Times New Roman" w:cs="Times New Roman"/>
          <w:sz w:val="24"/>
          <w:szCs w:val="24"/>
          <w:lang w:eastAsia="lt-LT"/>
        </w:rPr>
        <w:sectPr w:rsidR="008D528F" w:rsidSect="0015377B">
          <w:headerReference w:type="default" r:id="rId13"/>
          <w:pgSz w:w="11906" w:h="16838"/>
          <w:pgMar w:top="851" w:right="707" w:bottom="1440" w:left="1440" w:header="567" w:footer="567" w:gutter="0"/>
          <w:cols w:space="1296"/>
          <w:titlePg/>
          <w:docGrid w:linePitch="360"/>
        </w:sectPr>
      </w:pPr>
      <w:r>
        <w:rPr>
          <w:rFonts w:ascii="Times New Roman" w:eastAsia="Times New Roman" w:hAnsi="Times New Roman" w:cs="Times New Roman"/>
          <w:sz w:val="24"/>
          <w:szCs w:val="24"/>
          <w:lang w:eastAsia="lt-LT"/>
        </w:rPr>
        <w:t>________________</w:t>
      </w:r>
    </w:p>
    <w:p w14:paraId="030E0A39"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lastRenderedPageBreak/>
        <w:t>PATVIRTINTA</w:t>
      </w:r>
    </w:p>
    <w:p w14:paraId="4CAADD43"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Lietuvos Respublikos švietimo ir mokslo</w:t>
      </w:r>
    </w:p>
    <w:p w14:paraId="51F721CB"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ministro 2017 m. balandžio 24 d.</w:t>
      </w:r>
    </w:p>
    <w:p w14:paraId="10D83A0C"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įsakymu Nr. V-273</w:t>
      </w:r>
    </w:p>
    <w:p w14:paraId="732963F6" w14:textId="77777777" w:rsidR="008D528F" w:rsidRPr="008D528F" w:rsidRDefault="008D528F" w:rsidP="008D528F">
      <w:pPr>
        <w:spacing w:after="0" w:line="240" w:lineRule="auto"/>
        <w:jc w:val="center"/>
        <w:rPr>
          <w:rFonts w:ascii="Times New Roman" w:eastAsia="Calibri" w:hAnsi="Times New Roman" w:cs="Times New Roman"/>
          <w:b/>
          <w:sz w:val="24"/>
          <w:szCs w:val="24"/>
        </w:rPr>
      </w:pPr>
    </w:p>
    <w:p w14:paraId="732963F7" w14:textId="77777777" w:rsidR="008D528F" w:rsidRPr="008D528F" w:rsidRDefault="008D528F" w:rsidP="008D528F">
      <w:pPr>
        <w:spacing w:after="0" w:line="240" w:lineRule="auto"/>
        <w:jc w:val="center"/>
        <w:rPr>
          <w:rFonts w:ascii="Times New Roman" w:eastAsia="Calibri" w:hAnsi="Times New Roman" w:cs="Times New Roman"/>
          <w:b/>
          <w:sz w:val="24"/>
          <w:szCs w:val="24"/>
        </w:rPr>
      </w:pPr>
      <w:r w:rsidRPr="008D528F">
        <w:rPr>
          <w:rFonts w:ascii="Times New Roman" w:eastAsia="Calibri" w:hAnsi="Times New Roman" w:cs="Times New Roman"/>
          <w:b/>
          <w:sz w:val="24"/>
          <w:szCs w:val="24"/>
        </w:rPr>
        <w:t>VĖŽIO ANKSTYVOSIOS DIAGNOSTIKOS TOBULINIMAS</w:t>
      </w:r>
    </w:p>
    <w:p w14:paraId="732963F8" w14:textId="77777777" w:rsidR="008D528F" w:rsidRPr="008D528F" w:rsidRDefault="008D528F" w:rsidP="008D528F">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8D528F" w:rsidRPr="008D528F" w14:paraId="732963FC" w14:textId="77777777" w:rsidTr="00444D77">
        <w:tc>
          <w:tcPr>
            <w:tcW w:w="9816" w:type="dxa"/>
            <w:shd w:val="clear" w:color="auto" w:fill="auto"/>
          </w:tcPr>
          <w:p w14:paraId="732963F9" w14:textId="77777777" w:rsidR="008D528F" w:rsidRPr="008D528F" w:rsidRDefault="008D528F" w:rsidP="008D528F">
            <w:pPr>
              <w:tabs>
                <w:tab w:val="left" w:pos="284"/>
              </w:tabs>
              <w:spacing w:after="0" w:line="240" w:lineRule="auto"/>
              <w:contextualSpacing/>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b/>
                <w:sz w:val="24"/>
                <w:szCs w:val="24"/>
                <w:lang w:eastAsia="lt-LT"/>
              </w:rPr>
              <w:t xml:space="preserve">    1. Programos vykdytojas – </w:t>
            </w:r>
            <w:r w:rsidRPr="008D528F">
              <w:rPr>
                <w:rFonts w:ascii="Times New Roman" w:eastAsia="Times New Roman" w:hAnsi="Times New Roman" w:cs="Times New Roman"/>
                <w:sz w:val="24"/>
                <w:szCs w:val="24"/>
                <w:lang w:eastAsia="lt-LT"/>
              </w:rPr>
              <w:t>Nacionalinis vėžio institutas (toliau – NVI).</w:t>
            </w:r>
          </w:p>
          <w:p w14:paraId="732963FA" w14:textId="77777777" w:rsidR="008D528F" w:rsidRPr="008D528F" w:rsidRDefault="008D528F" w:rsidP="008D528F">
            <w:pPr>
              <w:tabs>
                <w:tab w:val="left" w:pos="284"/>
              </w:tabs>
              <w:spacing w:after="0" w:line="240" w:lineRule="auto"/>
              <w:contextualSpacing/>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Norminiai etatai skirti programai – 6,2.</w:t>
            </w:r>
          </w:p>
          <w:p w14:paraId="732963FB" w14:textId="77777777" w:rsidR="008D528F" w:rsidRPr="008D528F" w:rsidRDefault="008D528F" w:rsidP="008D528F">
            <w:pPr>
              <w:tabs>
                <w:tab w:val="left" w:pos="284"/>
              </w:tabs>
              <w:spacing w:after="0" w:line="240" w:lineRule="auto"/>
              <w:contextualSpacing/>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b/>
                <w:sz w:val="24"/>
                <w:szCs w:val="24"/>
                <w:lang w:eastAsia="lt-LT"/>
              </w:rPr>
              <w:t xml:space="preserve">    2. Programos tikslas – </w:t>
            </w:r>
            <w:r w:rsidRPr="008D528F">
              <w:rPr>
                <w:rFonts w:ascii="Times New Roman" w:eastAsia="Times New Roman" w:hAnsi="Times New Roman" w:cs="Times New Roman"/>
                <w:color w:val="000000"/>
                <w:sz w:val="24"/>
                <w:szCs w:val="24"/>
                <w:lang w:eastAsia="lt-LT"/>
              </w:rPr>
              <w:t xml:space="preserve">pasitelkiant minimaliai invazines </w:t>
            </w:r>
            <w:proofErr w:type="spellStart"/>
            <w:r w:rsidRPr="008D528F">
              <w:rPr>
                <w:rFonts w:ascii="Times New Roman" w:eastAsia="Calibri" w:hAnsi="Times New Roman" w:cs="Times New Roman"/>
                <w:color w:val="000000"/>
                <w:sz w:val="24"/>
                <w:szCs w:val="24"/>
              </w:rPr>
              <w:t>nanomedicinos</w:t>
            </w:r>
            <w:proofErr w:type="spellEnd"/>
            <w:r w:rsidRPr="008D528F">
              <w:rPr>
                <w:rFonts w:ascii="Times New Roman" w:eastAsia="Calibri" w:hAnsi="Times New Roman" w:cs="Times New Roman"/>
                <w:color w:val="000000"/>
                <w:sz w:val="24"/>
                <w:szCs w:val="24"/>
              </w:rPr>
              <w:t xml:space="preserve"> bei </w:t>
            </w:r>
            <w:proofErr w:type="spellStart"/>
            <w:r w:rsidRPr="008D528F">
              <w:rPr>
                <w:rFonts w:ascii="Times New Roman" w:eastAsia="Calibri" w:hAnsi="Times New Roman" w:cs="Times New Roman"/>
                <w:color w:val="000000"/>
                <w:sz w:val="24"/>
                <w:szCs w:val="24"/>
              </w:rPr>
              <w:t>genominės</w:t>
            </w:r>
            <w:proofErr w:type="spellEnd"/>
            <w:r w:rsidRPr="008D528F">
              <w:rPr>
                <w:rFonts w:ascii="Times New Roman" w:eastAsia="Calibri" w:hAnsi="Times New Roman" w:cs="Times New Roman"/>
                <w:color w:val="000000"/>
                <w:sz w:val="24"/>
                <w:szCs w:val="24"/>
              </w:rPr>
              <w:t xml:space="preserve"> technologijas</w:t>
            </w:r>
            <w:r w:rsidRPr="008D528F">
              <w:rPr>
                <w:rFonts w:ascii="Times New Roman" w:eastAsia="Times New Roman" w:hAnsi="Times New Roman" w:cs="Times New Roman"/>
                <w:color w:val="000000"/>
                <w:sz w:val="24"/>
                <w:szCs w:val="24"/>
                <w:lang w:eastAsia="lt-LT"/>
              </w:rPr>
              <w:t xml:space="preserve">, sukurti ir įdiegti į praktiką </w:t>
            </w:r>
            <w:proofErr w:type="spellStart"/>
            <w:r w:rsidRPr="008D528F">
              <w:rPr>
                <w:rFonts w:ascii="Times New Roman" w:eastAsia="Times New Roman" w:hAnsi="Times New Roman" w:cs="Times New Roman"/>
                <w:color w:val="000000"/>
                <w:sz w:val="24"/>
                <w:szCs w:val="24"/>
                <w:lang w:eastAsia="lt-LT"/>
              </w:rPr>
              <w:t>inovatyvias</w:t>
            </w:r>
            <w:proofErr w:type="spellEnd"/>
            <w:r w:rsidRPr="008D528F">
              <w:rPr>
                <w:rFonts w:ascii="Times New Roman" w:eastAsia="Times New Roman" w:hAnsi="Times New Roman" w:cs="Times New Roman"/>
                <w:color w:val="000000"/>
                <w:sz w:val="24"/>
                <w:szCs w:val="24"/>
                <w:lang w:eastAsia="lt-LT"/>
              </w:rPr>
              <w:t xml:space="preserve"> navikų vaizdinimo bei molekulinės diagnostikos priemones, skirtas ankstyvam onkologinių susirgimų nustatymui. Naujos technologijos bus testuojamos </w:t>
            </w:r>
            <w:proofErr w:type="spellStart"/>
            <w:r w:rsidRPr="008D528F">
              <w:rPr>
                <w:rFonts w:ascii="Times New Roman" w:eastAsia="Times New Roman" w:hAnsi="Times New Roman" w:cs="Times New Roman"/>
                <w:color w:val="000000"/>
                <w:sz w:val="24"/>
                <w:szCs w:val="24"/>
                <w:lang w:eastAsia="lt-LT"/>
              </w:rPr>
              <w:t>bioimitaciniuose</w:t>
            </w:r>
            <w:proofErr w:type="spellEnd"/>
            <w:r w:rsidRPr="008D528F">
              <w:rPr>
                <w:rFonts w:ascii="Times New Roman" w:eastAsia="Times New Roman" w:hAnsi="Times New Roman" w:cs="Times New Roman"/>
                <w:color w:val="000000"/>
                <w:sz w:val="24"/>
                <w:szCs w:val="24"/>
                <w:lang w:eastAsia="lt-LT"/>
              </w:rPr>
              <w:t xml:space="preserve"> dariniuose, sveikų, kamieninių bei navikinių ląstelių 2D ir 3D kultūrose, ir eksperimentinių gyvūnų modeliuose </w:t>
            </w:r>
            <w:proofErr w:type="spellStart"/>
            <w:r w:rsidRPr="008D528F">
              <w:rPr>
                <w:rFonts w:ascii="Times New Roman" w:eastAsia="Times New Roman" w:hAnsi="Times New Roman" w:cs="Times New Roman"/>
                <w:i/>
                <w:color w:val="000000"/>
                <w:sz w:val="24"/>
                <w:szCs w:val="24"/>
                <w:lang w:eastAsia="lt-LT"/>
              </w:rPr>
              <w:t>in</w:t>
            </w:r>
            <w:proofErr w:type="spellEnd"/>
            <w:r w:rsidRPr="008D528F">
              <w:rPr>
                <w:rFonts w:ascii="Times New Roman" w:eastAsia="Times New Roman" w:hAnsi="Times New Roman" w:cs="Times New Roman"/>
                <w:i/>
                <w:color w:val="000000"/>
                <w:sz w:val="24"/>
                <w:szCs w:val="24"/>
                <w:lang w:eastAsia="lt-LT"/>
              </w:rPr>
              <w:t xml:space="preserve"> </w:t>
            </w:r>
            <w:proofErr w:type="spellStart"/>
            <w:r w:rsidRPr="008D528F">
              <w:rPr>
                <w:rFonts w:ascii="Times New Roman" w:eastAsia="Times New Roman" w:hAnsi="Times New Roman" w:cs="Times New Roman"/>
                <w:i/>
                <w:color w:val="000000"/>
                <w:sz w:val="24"/>
                <w:szCs w:val="24"/>
                <w:lang w:eastAsia="lt-LT"/>
              </w:rPr>
              <w:t>vivo</w:t>
            </w:r>
            <w:r w:rsidRPr="008D528F">
              <w:rPr>
                <w:rFonts w:ascii="Times New Roman" w:eastAsia="Times New Roman" w:hAnsi="Times New Roman" w:cs="Times New Roman"/>
                <w:color w:val="000000"/>
                <w:sz w:val="24"/>
                <w:szCs w:val="24"/>
                <w:lang w:eastAsia="lt-LT"/>
              </w:rPr>
              <w:t>.</w:t>
            </w:r>
            <w:r w:rsidRPr="008D528F">
              <w:rPr>
                <w:rFonts w:ascii="Times New Roman" w:eastAsia="Calibri" w:hAnsi="Times New Roman" w:cs="Times New Roman"/>
                <w:sz w:val="24"/>
                <w:szCs w:val="24"/>
              </w:rPr>
              <w:t>Tikslo</w:t>
            </w:r>
            <w:proofErr w:type="spellEnd"/>
            <w:r w:rsidRPr="008D528F">
              <w:rPr>
                <w:rFonts w:ascii="Times New Roman" w:eastAsia="Calibri" w:hAnsi="Times New Roman" w:cs="Times New Roman"/>
                <w:sz w:val="24"/>
                <w:szCs w:val="24"/>
              </w:rPr>
              <w:t xml:space="preserve"> pasiekimui bus pasitelkiamas ir vystomas onkologinių pacientų biologinių </w:t>
            </w:r>
            <w:proofErr w:type="spellStart"/>
            <w:r w:rsidRPr="008D528F">
              <w:rPr>
                <w:rFonts w:ascii="Times New Roman" w:eastAsia="Calibri" w:hAnsi="Times New Roman" w:cs="Times New Roman"/>
                <w:sz w:val="24"/>
                <w:szCs w:val="24"/>
              </w:rPr>
              <w:t>ėminių</w:t>
            </w:r>
            <w:proofErr w:type="spellEnd"/>
            <w:r w:rsidRPr="008D528F">
              <w:rPr>
                <w:rFonts w:ascii="Times New Roman" w:eastAsia="Calibri" w:hAnsi="Times New Roman" w:cs="Times New Roman"/>
                <w:sz w:val="24"/>
                <w:szCs w:val="24"/>
              </w:rPr>
              <w:t xml:space="preserve"> ir susijusios medicininės informacijos </w:t>
            </w:r>
            <w:proofErr w:type="spellStart"/>
            <w:r w:rsidRPr="008D528F">
              <w:rPr>
                <w:rFonts w:ascii="Times New Roman" w:eastAsia="Calibri" w:hAnsi="Times New Roman" w:cs="Times New Roman"/>
                <w:sz w:val="24"/>
                <w:szCs w:val="24"/>
              </w:rPr>
              <w:t>biobankas</w:t>
            </w:r>
            <w:proofErr w:type="spellEnd"/>
            <w:r w:rsidRPr="008D528F">
              <w:rPr>
                <w:rFonts w:ascii="Times New Roman" w:eastAsia="Calibri" w:hAnsi="Times New Roman" w:cs="Times New Roman"/>
                <w:sz w:val="24"/>
                <w:szCs w:val="24"/>
              </w:rPr>
              <w:t xml:space="preserve"> (3 programos, 3 priemonė).</w:t>
            </w:r>
          </w:p>
        </w:tc>
      </w:tr>
      <w:tr w:rsidR="008D528F" w:rsidRPr="008D528F" w14:paraId="732963FE" w14:textId="77777777" w:rsidTr="00444D77">
        <w:tc>
          <w:tcPr>
            <w:tcW w:w="9816" w:type="dxa"/>
            <w:shd w:val="clear" w:color="auto" w:fill="auto"/>
          </w:tcPr>
          <w:p w14:paraId="732963FD"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b/>
                <w:sz w:val="24"/>
                <w:szCs w:val="24"/>
                <w:lang w:eastAsia="lt-LT"/>
              </w:rPr>
              <w:t xml:space="preserve">    3. Programos uždavinys</w:t>
            </w:r>
            <w:r w:rsidRPr="008D528F">
              <w:rPr>
                <w:rFonts w:ascii="Times New Roman" w:eastAsia="Times New Roman" w:hAnsi="Times New Roman" w:cs="Times New Roman"/>
                <w:sz w:val="24"/>
                <w:szCs w:val="24"/>
                <w:lang w:eastAsia="lt-LT"/>
              </w:rPr>
              <w:t xml:space="preserve"> - </w:t>
            </w:r>
            <w:proofErr w:type="spellStart"/>
            <w:r w:rsidRPr="008D528F">
              <w:rPr>
                <w:rFonts w:ascii="Times New Roman" w:eastAsia="Times New Roman" w:hAnsi="Times New Roman" w:cs="Times New Roman"/>
                <w:sz w:val="24"/>
                <w:szCs w:val="24"/>
                <w:lang w:eastAsia="lt-LT"/>
              </w:rPr>
              <w:t>inovatyvių</w:t>
            </w:r>
            <w:proofErr w:type="spellEnd"/>
            <w:r w:rsidRPr="008D528F">
              <w:rPr>
                <w:rFonts w:ascii="Times New Roman" w:eastAsia="Times New Roman" w:hAnsi="Times New Roman" w:cs="Times New Roman"/>
                <w:sz w:val="24"/>
                <w:szCs w:val="24"/>
                <w:lang w:eastAsia="lt-LT"/>
              </w:rPr>
              <w:t xml:space="preserve"> vaizdinimo technologijų kūrimas ir diegimas bei derinimas su molekulinių žymenų sistemomis vėžio diagnostikos veiksmingumo didinimui.</w:t>
            </w:r>
          </w:p>
        </w:tc>
      </w:tr>
      <w:tr w:rsidR="008D528F" w:rsidRPr="008D528F" w14:paraId="73296404" w14:textId="77777777" w:rsidTr="00444D77">
        <w:tc>
          <w:tcPr>
            <w:tcW w:w="9816" w:type="dxa"/>
            <w:shd w:val="clear" w:color="auto" w:fill="auto"/>
          </w:tcPr>
          <w:p w14:paraId="732963FF" w14:textId="77777777" w:rsidR="008D528F" w:rsidRPr="008D528F" w:rsidRDefault="008D528F" w:rsidP="008D528F">
            <w:pPr>
              <w:spacing w:after="0" w:line="240" w:lineRule="auto"/>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b/>
                <w:sz w:val="24"/>
                <w:szCs w:val="24"/>
                <w:lang w:eastAsia="lt-LT"/>
              </w:rPr>
              <w:t xml:space="preserve">    4. Metodologinis tyrimų pagrindimas</w:t>
            </w:r>
          </w:p>
          <w:p w14:paraId="73296400"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Šiandien naudojami onkologinių susirgimų diagnostikos metodai ir navikinių darinių vaizdinimas yra nepakankamai tikslūs ir informatyvūs, kai kurie gana </w:t>
            </w:r>
            <w:proofErr w:type="spellStart"/>
            <w:r w:rsidRPr="008D528F">
              <w:rPr>
                <w:rFonts w:ascii="Times New Roman" w:eastAsia="Times New Roman" w:hAnsi="Times New Roman" w:cs="Times New Roman"/>
                <w:sz w:val="24"/>
                <w:szCs w:val="24"/>
                <w:lang w:eastAsia="lt-LT"/>
              </w:rPr>
              <w:t>invazyvūs</w:t>
            </w:r>
            <w:proofErr w:type="spellEnd"/>
            <w:r w:rsidRPr="008D528F">
              <w:rPr>
                <w:rFonts w:ascii="Times New Roman" w:eastAsia="Times New Roman" w:hAnsi="Times New Roman" w:cs="Times New Roman"/>
                <w:sz w:val="24"/>
                <w:szCs w:val="24"/>
                <w:lang w:eastAsia="lt-LT"/>
              </w:rPr>
              <w:t>. Navikiniai dariniai nustatomi vėlyvose stadijose, kai klasikiniai gydymo metodai jau būna nepakankamai efektyvūs. Chirurginių operacijų metu nepakankamai tiksliai nustatoma riba tarp sveiko ir navikinio audinio. Naudojami vaizdinimo žymenys nepasižymi pakankamu jautrumu ir specifiškumu navikui. Todėl būtina kurti naujus neinvazinius, tausojančius organizmą, onkologinių susirgimų diagnostikos ir navikinių darinių vaizdinimo metodus ir metodikas pasižyminčias dideliu jautrumu ir specifiškumu vaizdinant navikinius darinius ir nustatant ribą tarp sveiko ir navikinio darinio ir užtikrinančias ankstyvų stadijų navikinių darinių diagnozavimą ir vaizdinimą.</w:t>
            </w:r>
          </w:p>
          <w:p w14:paraId="73296401"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Nanotechnologijos mokslo pasiekimais pagrįstų šiuolaikinių technologijų naudojimas anksti ir tiksliai diagnozuojant vėžį ir modernių sudėtinio onkologinių ligų gydymo metodų taikymas yra svarbios priemonės kompleksiškai kovojant su šia sunkia liga – tokią tendenciją patvirtina onkologijos srityje dirbantys mokslininkai bei klinicistai (</w:t>
            </w:r>
            <w:proofErr w:type="spellStart"/>
            <w:r w:rsidRPr="008D528F">
              <w:rPr>
                <w:rFonts w:ascii="Times New Roman" w:eastAsia="Times New Roman" w:hAnsi="Times New Roman" w:cs="Times New Roman"/>
                <w:sz w:val="24"/>
                <w:szCs w:val="24"/>
                <w:lang w:eastAsia="lt-LT"/>
              </w:rPr>
              <w:t>Roadmaps</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in</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NanomedicineTowards</w:t>
            </w:r>
            <w:proofErr w:type="spellEnd"/>
            <w:r w:rsidRPr="008D528F">
              <w:rPr>
                <w:rFonts w:ascii="Times New Roman" w:eastAsia="Times New Roman" w:hAnsi="Times New Roman" w:cs="Times New Roman"/>
                <w:sz w:val="24"/>
                <w:szCs w:val="24"/>
                <w:lang w:eastAsia="lt-LT"/>
              </w:rPr>
              <w:t xml:space="preserve"> 2020). Pasaulinės tendencijos rodo, kad </w:t>
            </w:r>
            <w:proofErr w:type="spellStart"/>
            <w:r w:rsidRPr="008D528F">
              <w:rPr>
                <w:rFonts w:ascii="Times New Roman" w:eastAsia="Times New Roman" w:hAnsi="Times New Roman" w:cs="Times New Roman"/>
                <w:sz w:val="24"/>
                <w:szCs w:val="24"/>
                <w:lang w:eastAsia="lt-LT"/>
              </w:rPr>
              <w:t>multifunkcininiųnanodarinių</w:t>
            </w:r>
            <w:proofErr w:type="spellEnd"/>
            <w:r w:rsidRPr="008D528F">
              <w:rPr>
                <w:rFonts w:ascii="Times New Roman" w:eastAsia="Times New Roman" w:hAnsi="Times New Roman" w:cs="Times New Roman"/>
                <w:sz w:val="24"/>
                <w:szCs w:val="24"/>
                <w:lang w:eastAsia="lt-LT"/>
              </w:rPr>
              <w:t xml:space="preserve"> (aukso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magnetinių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aukštynkeičių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porėtojo silicio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ir kitų hibridinių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bei biologiškai aktyvių molekulių-</w:t>
            </w:r>
            <w:proofErr w:type="spellStart"/>
            <w:r w:rsidRPr="008D528F">
              <w:rPr>
                <w:rFonts w:ascii="Times New Roman" w:eastAsia="Times New Roman" w:hAnsi="Times New Roman" w:cs="Times New Roman"/>
                <w:sz w:val="24"/>
                <w:szCs w:val="24"/>
                <w:lang w:eastAsia="lt-LT"/>
              </w:rPr>
              <w:t>fotovaistų</w:t>
            </w:r>
            <w:proofErr w:type="spellEnd"/>
            <w:r w:rsidRPr="008D528F">
              <w:rPr>
                <w:rFonts w:ascii="Times New Roman" w:eastAsia="Times New Roman" w:hAnsi="Times New Roman" w:cs="Times New Roman"/>
                <w:sz w:val="24"/>
                <w:szCs w:val="24"/>
                <w:lang w:eastAsia="lt-LT"/>
              </w:rPr>
              <w:t xml:space="preserve"> (chlorinas e6, </w:t>
            </w:r>
            <w:proofErr w:type="spellStart"/>
            <w:r w:rsidRPr="008D528F">
              <w:rPr>
                <w:rFonts w:ascii="Times New Roman" w:eastAsia="Times New Roman" w:hAnsi="Times New Roman" w:cs="Times New Roman"/>
                <w:sz w:val="24"/>
                <w:szCs w:val="24"/>
                <w:lang w:eastAsia="lt-LT"/>
              </w:rPr>
              <w:t>protoporfirinas</w:t>
            </w:r>
            <w:proofErr w:type="spellEnd"/>
            <w:r w:rsidRPr="008D528F">
              <w:rPr>
                <w:rFonts w:ascii="Times New Roman" w:eastAsia="Times New Roman" w:hAnsi="Times New Roman" w:cs="Times New Roman"/>
                <w:sz w:val="24"/>
                <w:szCs w:val="24"/>
                <w:lang w:eastAsia="lt-LT"/>
              </w:rPr>
              <w:t xml:space="preserve"> IX...) pagrindu sukurti diagnostikos prototipai yra testuojami klinikoje naudojantis optiniais metodais, branduolių magnetinio rezonanso, rentgeno ir gama spindulių, ultragarso metodikų principais sukurtais žmogaus organizmo vaizdinimo prietaisais (MRI, PET, CT, SPECT ir kt.). Tikimasi, kad sukurtos biologiškai aktyvios </w:t>
            </w:r>
            <w:proofErr w:type="spellStart"/>
            <w:r w:rsidRPr="008D528F">
              <w:rPr>
                <w:rFonts w:ascii="Times New Roman" w:eastAsia="Times New Roman" w:hAnsi="Times New Roman" w:cs="Times New Roman"/>
                <w:sz w:val="24"/>
                <w:szCs w:val="24"/>
                <w:lang w:eastAsia="lt-LT"/>
              </w:rPr>
              <w:t>funkcionalizuotos</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nanodalelės</w:t>
            </w:r>
            <w:proofErr w:type="spellEnd"/>
            <w:r w:rsidRPr="008D528F">
              <w:rPr>
                <w:rFonts w:ascii="Times New Roman" w:eastAsia="Times New Roman" w:hAnsi="Times New Roman" w:cs="Times New Roman"/>
                <w:sz w:val="24"/>
                <w:szCs w:val="24"/>
                <w:lang w:eastAsia="lt-LT"/>
              </w:rPr>
              <w:t xml:space="preserve"> leis identifikuoti beprasidedančius displazijos procesus ar aptikti metastazių židinius.</w:t>
            </w:r>
          </w:p>
          <w:p w14:paraId="73296402"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proofErr w:type="spellStart"/>
            <w:r w:rsidRPr="008D528F">
              <w:rPr>
                <w:rFonts w:ascii="Times New Roman" w:eastAsia="Times New Roman" w:hAnsi="Times New Roman" w:cs="Times New Roman"/>
                <w:sz w:val="24"/>
                <w:szCs w:val="24"/>
                <w:lang w:eastAsia="lt-LT"/>
              </w:rPr>
              <w:t>Fotosensibilizuotoje</w:t>
            </w:r>
            <w:proofErr w:type="spellEnd"/>
            <w:r w:rsidRPr="008D528F">
              <w:rPr>
                <w:rFonts w:ascii="Times New Roman" w:eastAsia="Times New Roman" w:hAnsi="Times New Roman" w:cs="Times New Roman"/>
                <w:sz w:val="24"/>
                <w:szCs w:val="24"/>
                <w:lang w:eastAsia="lt-LT"/>
              </w:rPr>
              <w:t xml:space="preserve"> navikų terapijoje (FT) naudojamų endogeninių sensibilizatorių pirmtakų, tokių kaip 5-aminolevulininė rūgštis (ALA) ir jos dariniai, </w:t>
            </w:r>
            <w:proofErr w:type="spellStart"/>
            <w:r w:rsidRPr="008D528F">
              <w:rPr>
                <w:rFonts w:ascii="Times New Roman" w:eastAsia="Times New Roman" w:hAnsi="Times New Roman" w:cs="Times New Roman"/>
                <w:sz w:val="24"/>
                <w:szCs w:val="24"/>
                <w:lang w:eastAsia="lt-LT"/>
              </w:rPr>
              <w:t>fotosensibilizacinio</w:t>
            </w:r>
            <w:proofErr w:type="spellEnd"/>
            <w:r w:rsidRPr="008D528F">
              <w:rPr>
                <w:rFonts w:ascii="Times New Roman" w:eastAsia="Times New Roman" w:hAnsi="Times New Roman" w:cs="Times New Roman"/>
                <w:sz w:val="24"/>
                <w:szCs w:val="24"/>
                <w:lang w:eastAsia="lt-LT"/>
              </w:rPr>
              <w:t xml:space="preserve"> poveikio vėžiniams audiniams veiksmingumą lemia selektyvus tokių pirmtakų patekimas į vėžines ląsteles bei sutrikdytas ląstelių </w:t>
            </w:r>
            <w:proofErr w:type="spellStart"/>
            <w:r w:rsidRPr="008D528F">
              <w:rPr>
                <w:rFonts w:ascii="Times New Roman" w:eastAsia="Times New Roman" w:hAnsi="Times New Roman" w:cs="Times New Roman"/>
                <w:sz w:val="24"/>
                <w:szCs w:val="24"/>
                <w:lang w:eastAsia="lt-LT"/>
              </w:rPr>
              <w:t>hemo</w:t>
            </w:r>
            <w:proofErr w:type="spellEnd"/>
            <w:r w:rsidRPr="008D528F">
              <w:rPr>
                <w:rFonts w:ascii="Times New Roman" w:eastAsia="Times New Roman" w:hAnsi="Times New Roman" w:cs="Times New Roman"/>
                <w:sz w:val="24"/>
                <w:szCs w:val="24"/>
                <w:lang w:eastAsia="lt-LT"/>
              </w:rPr>
              <w:t xml:space="preserve"> sintezės ciklas. Tad vėžinėse ląstelėse susikaupia didesni sensibilizatoriaus </w:t>
            </w:r>
            <w:proofErr w:type="spellStart"/>
            <w:r w:rsidRPr="008D528F">
              <w:rPr>
                <w:rFonts w:ascii="Times New Roman" w:eastAsia="Times New Roman" w:hAnsi="Times New Roman" w:cs="Times New Roman"/>
                <w:sz w:val="24"/>
                <w:szCs w:val="24"/>
                <w:lang w:eastAsia="lt-LT"/>
              </w:rPr>
              <w:t>protoporfirino</w:t>
            </w:r>
            <w:proofErr w:type="spellEnd"/>
            <w:r w:rsidRPr="008D528F">
              <w:rPr>
                <w:rFonts w:ascii="Times New Roman" w:eastAsia="Times New Roman" w:hAnsi="Times New Roman" w:cs="Times New Roman"/>
                <w:sz w:val="24"/>
                <w:szCs w:val="24"/>
                <w:lang w:eastAsia="lt-LT"/>
              </w:rPr>
              <w:t xml:space="preserve"> IX (</w:t>
            </w:r>
            <w:proofErr w:type="spellStart"/>
            <w:r w:rsidRPr="008D528F">
              <w:rPr>
                <w:rFonts w:ascii="Times New Roman" w:eastAsia="Times New Roman" w:hAnsi="Times New Roman" w:cs="Times New Roman"/>
                <w:sz w:val="24"/>
                <w:szCs w:val="24"/>
                <w:lang w:eastAsia="lt-LT"/>
              </w:rPr>
              <w:t>PpIX</w:t>
            </w:r>
            <w:proofErr w:type="spellEnd"/>
            <w:r w:rsidRPr="008D528F">
              <w:rPr>
                <w:rFonts w:ascii="Times New Roman" w:eastAsia="Times New Roman" w:hAnsi="Times New Roman" w:cs="Times New Roman"/>
                <w:sz w:val="24"/>
                <w:szCs w:val="24"/>
                <w:lang w:eastAsia="lt-LT"/>
              </w:rPr>
              <w:t xml:space="preserve">) kiekiai negu sveikose. Tačiau jau patvirtintiems ir klinikinėje praktikoje aktininės </w:t>
            </w:r>
            <w:proofErr w:type="spellStart"/>
            <w:r w:rsidRPr="008D528F">
              <w:rPr>
                <w:rFonts w:ascii="Times New Roman" w:eastAsia="Times New Roman" w:hAnsi="Times New Roman" w:cs="Times New Roman"/>
                <w:sz w:val="24"/>
                <w:szCs w:val="24"/>
                <w:lang w:eastAsia="lt-LT"/>
              </w:rPr>
              <w:t>keratozės</w:t>
            </w:r>
            <w:proofErr w:type="spellEnd"/>
            <w:r w:rsidRPr="008D528F">
              <w:rPr>
                <w:rFonts w:ascii="Times New Roman" w:eastAsia="Times New Roman" w:hAnsi="Times New Roman" w:cs="Times New Roman"/>
                <w:sz w:val="24"/>
                <w:szCs w:val="24"/>
                <w:lang w:eastAsia="lt-LT"/>
              </w:rPr>
              <w:t xml:space="preserve"> ir kitų paviršinių audinių </w:t>
            </w:r>
            <w:proofErr w:type="spellStart"/>
            <w:r w:rsidRPr="008D528F">
              <w:rPr>
                <w:rFonts w:ascii="Times New Roman" w:eastAsia="Times New Roman" w:hAnsi="Times New Roman" w:cs="Times New Roman"/>
                <w:sz w:val="24"/>
                <w:szCs w:val="24"/>
                <w:lang w:eastAsia="lt-LT"/>
              </w:rPr>
              <w:t>ikivėžinių</w:t>
            </w:r>
            <w:proofErr w:type="spellEnd"/>
            <w:r w:rsidRPr="008D528F">
              <w:rPr>
                <w:rFonts w:ascii="Times New Roman" w:eastAsia="Times New Roman" w:hAnsi="Times New Roman" w:cs="Times New Roman"/>
                <w:sz w:val="24"/>
                <w:szCs w:val="24"/>
                <w:lang w:eastAsia="lt-LT"/>
              </w:rPr>
              <w:t xml:space="preserve"> bei vėžinių būklių gydymui naudojamiems keliems </w:t>
            </w:r>
            <w:proofErr w:type="spellStart"/>
            <w:r w:rsidRPr="008D528F">
              <w:rPr>
                <w:rFonts w:ascii="Times New Roman" w:eastAsia="Times New Roman" w:hAnsi="Times New Roman" w:cs="Times New Roman"/>
                <w:sz w:val="24"/>
                <w:szCs w:val="24"/>
                <w:lang w:eastAsia="lt-LT"/>
              </w:rPr>
              <w:t>porfirinų</w:t>
            </w:r>
            <w:proofErr w:type="spellEnd"/>
            <w:r w:rsidRPr="008D528F">
              <w:rPr>
                <w:rFonts w:ascii="Times New Roman" w:eastAsia="Times New Roman" w:hAnsi="Times New Roman" w:cs="Times New Roman"/>
                <w:sz w:val="24"/>
                <w:szCs w:val="24"/>
                <w:lang w:eastAsia="lt-LT"/>
              </w:rPr>
              <w:t xml:space="preserve"> pirmtakų preparatams – pvz., </w:t>
            </w:r>
            <w:proofErr w:type="spellStart"/>
            <w:r w:rsidRPr="008D528F">
              <w:rPr>
                <w:rFonts w:ascii="Times New Roman" w:eastAsia="Times New Roman" w:hAnsi="Times New Roman" w:cs="Times New Roman"/>
                <w:sz w:val="24"/>
                <w:szCs w:val="24"/>
                <w:lang w:eastAsia="lt-LT"/>
              </w:rPr>
              <w:t>Levulan</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Metvix</w:t>
            </w:r>
            <w:proofErr w:type="spellEnd"/>
            <w:r w:rsidRPr="008D528F">
              <w:rPr>
                <w:rFonts w:ascii="Times New Roman" w:eastAsia="Times New Roman" w:hAnsi="Times New Roman" w:cs="Times New Roman"/>
                <w:sz w:val="24"/>
                <w:szCs w:val="24"/>
                <w:lang w:eastAsia="lt-LT"/>
              </w:rPr>
              <w:t xml:space="preserve">, būdinga ribota skvarba biologiniuose audiniuose. Ši cheminės sandaros nulemta savybė trukdo kontroliuoti sensibilizacijos </w:t>
            </w:r>
            <w:proofErr w:type="spellStart"/>
            <w:r w:rsidRPr="008D528F">
              <w:rPr>
                <w:rFonts w:ascii="Times New Roman" w:eastAsia="Times New Roman" w:hAnsi="Times New Roman" w:cs="Times New Roman"/>
                <w:sz w:val="24"/>
                <w:szCs w:val="24"/>
                <w:lang w:eastAsia="lt-LT"/>
              </w:rPr>
              <w:t>selektyvumą</w:t>
            </w:r>
            <w:proofErr w:type="spellEnd"/>
            <w:r w:rsidRPr="008D528F">
              <w:rPr>
                <w:rFonts w:ascii="Times New Roman" w:eastAsia="Times New Roman" w:hAnsi="Times New Roman" w:cs="Times New Roman"/>
                <w:sz w:val="24"/>
                <w:szCs w:val="24"/>
                <w:lang w:eastAsia="lt-LT"/>
              </w:rPr>
              <w:t xml:space="preserve"> gilesniuose ar didesnio tūrio vėžio pažeistuose audiniuose bei plėtoti šio FT metodo klinikinį taikymą. Šiuo programos uždaviniu bus siekiama išplėsti šių pirmtakų taikymo galimybes didesnio tūrio vėžiniams dariniams ir padidinti </w:t>
            </w:r>
            <w:proofErr w:type="spellStart"/>
            <w:r w:rsidRPr="008D528F">
              <w:rPr>
                <w:rFonts w:ascii="Times New Roman" w:eastAsia="Times New Roman" w:hAnsi="Times New Roman" w:cs="Times New Roman"/>
                <w:sz w:val="24"/>
                <w:szCs w:val="24"/>
                <w:lang w:eastAsia="lt-LT"/>
              </w:rPr>
              <w:t>fotosensibilizuotos</w:t>
            </w:r>
            <w:proofErr w:type="spellEnd"/>
            <w:r w:rsidRPr="008D528F">
              <w:rPr>
                <w:rFonts w:ascii="Times New Roman" w:eastAsia="Times New Roman" w:hAnsi="Times New Roman" w:cs="Times New Roman"/>
                <w:sz w:val="24"/>
                <w:szCs w:val="24"/>
                <w:lang w:eastAsia="lt-LT"/>
              </w:rPr>
              <w:t xml:space="preserve"> terapijos poveikio </w:t>
            </w:r>
            <w:proofErr w:type="spellStart"/>
            <w:r w:rsidRPr="008D528F">
              <w:rPr>
                <w:rFonts w:ascii="Times New Roman" w:eastAsia="Times New Roman" w:hAnsi="Times New Roman" w:cs="Times New Roman"/>
                <w:sz w:val="24"/>
                <w:szCs w:val="24"/>
                <w:lang w:eastAsia="lt-LT"/>
              </w:rPr>
              <w:t>selektyvumą</w:t>
            </w:r>
            <w:proofErr w:type="spellEnd"/>
            <w:r w:rsidRPr="008D528F">
              <w:rPr>
                <w:rFonts w:ascii="Times New Roman" w:eastAsia="Times New Roman" w:hAnsi="Times New Roman" w:cs="Times New Roman"/>
                <w:sz w:val="24"/>
                <w:szCs w:val="24"/>
                <w:lang w:eastAsia="lt-LT"/>
              </w:rPr>
              <w:t xml:space="preserve">, sensibilizatorių pirmtakų tikslinei pernašai į ląsteles panaudojant kosmetikoje ir reabilitacinėje medicinoje taikomus skirtingos molekulinės masės </w:t>
            </w:r>
            <w:proofErr w:type="spellStart"/>
            <w:r w:rsidRPr="008D528F">
              <w:rPr>
                <w:rFonts w:ascii="Times New Roman" w:eastAsia="Times New Roman" w:hAnsi="Times New Roman" w:cs="Times New Roman"/>
                <w:sz w:val="24"/>
                <w:szCs w:val="24"/>
                <w:lang w:eastAsia="lt-LT"/>
              </w:rPr>
              <w:t>hialurono</w:t>
            </w:r>
            <w:proofErr w:type="spellEnd"/>
            <w:r w:rsidRPr="008D528F">
              <w:rPr>
                <w:rFonts w:ascii="Times New Roman" w:eastAsia="Times New Roman" w:hAnsi="Times New Roman" w:cs="Times New Roman"/>
                <w:sz w:val="24"/>
                <w:szCs w:val="24"/>
                <w:lang w:eastAsia="lt-LT"/>
              </w:rPr>
              <w:t xml:space="preserve"> rūgšties </w:t>
            </w:r>
            <w:r w:rsidRPr="008D528F">
              <w:rPr>
                <w:rFonts w:ascii="Times New Roman" w:eastAsia="Times New Roman" w:hAnsi="Times New Roman" w:cs="Times New Roman"/>
                <w:sz w:val="24"/>
                <w:szCs w:val="24"/>
                <w:lang w:eastAsia="lt-LT"/>
              </w:rPr>
              <w:lastRenderedPageBreak/>
              <w:t xml:space="preserve">(HR) polimerinius junginius, bei ištiriant ir palyginant šio derinio </w:t>
            </w:r>
            <w:proofErr w:type="spellStart"/>
            <w:r w:rsidRPr="008D528F">
              <w:rPr>
                <w:rFonts w:ascii="Times New Roman" w:eastAsia="Times New Roman" w:hAnsi="Times New Roman" w:cs="Times New Roman"/>
                <w:sz w:val="24"/>
                <w:szCs w:val="24"/>
                <w:lang w:eastAsia="lt-LT"/>
              </w:rPr>
              <w:t>fotosensibilizacinį</w:t>
            </w:r>
            <w:proofErr w:type="spellEnd"/>
            <w:r w:rsidRPr="008D528F">
              <w:rPr>
                <w:rFonts w:ascii="Times New Roman" w:eastAsia="Times New Roman" w:hAnsi="Times New Roman" w:cs="Times New Roman"/>
                <w:sz w:val="24"/>
                <w:szCs w:val="24"/>
                <w:lang w:eastAsia="lt-LT"/>
              </w:rPr>
              <w:t xml:space="preserve"> poveikį vėžinėms ir sveikoms ląstelėms. Šių junginių bei jų indukuotų </w:t>
            </w:r>
            <w:proofErr w:type="spellStart"/>
            <w:r w:rsidRPr="008D528F">
              <w:rPr>
                <w:rFonts w:ascii="Times New Roman" w:eastAsia="Times New Roman" w:hAnsi="Times New Roman" w:cs="Times New Roman"/>
                <w:sz w:val="24"/>
                <w:szCs w:val="24"/>
                <w:lang w:eastAsia="lt-LT"/>
              </w:rPr>
              <w:t>fotosensibilizatorių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protoporfirino</w:t>
            </w:r>
            <w:proofErr w:type="spellEnd"/>
            <w:r w:rsidRPr="008D528F">
              <w:rPr>
                <w:rFonts w:ascii="Times New Roman" w:eastAsia="Times New Roman" w:hAnsi="Times New Roman" w:cs="Times New Roman"/>
                <w:sz w:val="24"/>
                <w:szCs w:val="24"/>
                <w:lang w:eastAsia="lt-LT"/>
              </w:rPr>
              <w:t xml:space="preserve"> IX, pasiskirstymas ląstelėse bei </w:t>
            </w:r>
            <w:proofErr w:type="spellStart"/>
            <w:r w:rsidRPr="008D528F">
              <w:rPr>
                <w:rFonts w:ascii="Times New Roman" w:eastAsia="Times New Roman" w:hAnsi="Times New Roman" w:cs="Times New Roman"/>
                <w:sz w:val="24"/>
                <w:szCs w:val="24"/>
                <w:lang w:eastAsia="lt-LT"/>
              </w:rPr>
              <w:t>fotofizikinės</w:t>
            </w:r>
            <w:proofErr w:type="spellEnd"/>
            <w:r w:rsidRPr="008D528F">
              <w:rPr>
                <w:rFonts w:ascii="Times New Roman" w:eastAsia="Times New Roman" w:hAnsi="Times New Roman" w:cs="Times New Roman"/>
                <w:sz w:val="24"/>
                <w:szCs w:val="24"/>
                <w:lang w:eastAsia="lt-LT"/>
              </w:rPr>
              <w:t xml:space="preserve"> savybės bus tiriamos </w:t>
            </w:r>
            <w:proofErr w:type="spellStart"/>
            <w:r w:rsidRPr="008D528F">
              <w:rPr>
                <w:rFonts w:ascii="Times New Roman" w:eastAsia="Times New Roman" w:hAnsi="Times New Roman" w:cs="Times New Roman"/>
                <w:sz w:val="24"/>
                <w:szCs w:val="24"/>
                <w:lang w:eastAsia="lt-LT"/>
              </w:rPr>
              <w:t>konfakinės</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nuostoviosios</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fluorescencinės</w:t>
            </w:r>
            <w:proofErr w:type="spellEnd"/>
            <w:r w:rsidRPr="008D528F">
              <w:rPr>
                <w:rFonts w:ascii="Times New Roman" w:eastAsia="Times New Roman" w:hAnsi="Times New Roman" w:cs="Times New Roman"/>
                <w:sz w:val="24"/>
                <w:szCs w:val="24"/>
                <w:lang w:eastAsia="lt-LT"/>
              </w:rPr>
              <w:t xml:space="preserve"> ir gyvavimo trukmių mikroskopijos metodikomis. Specifinių receptorių bei susikaupusio </w:t>
            </w:r>
            <w:proofErr w:type="spellStart"/>
            <w:r w:rsidRPr="008D528F">
              <w:rPr>
                <w:rFonts w:ascii="Times New Roman" w:eastAsia="Times New Roman" w:hAnsi="Times New Roman" w:cs="Times New Roman"/>
                <w:sz w:val="24"/>
                <w:szCs w:val="24"/>
                <w:lang w:eastAsia="lt-LT"/>
              </w:rPr>
              <w:t>fotosensibilizatoriaus</w:t>
            </w:r>
            <w:proofErr w:type="spellEnd"/>
            <w:r w:rsidRPr="008D528F">
              <w:rPr>
                <w:rFonts w:ascii="Times New Roman" w:eastAsia="Times New Roman" w:hAnsi="Times New Roman" w:cs="Times New Roman"/>
                <w:sz w:val="24"/>
                <w:szCs w:val="24"/>
                <w:lang w:eastAsia="lt-LT"/>
              </w:rPr>
              <w:t xml:space="preserve"> kiekiai ląstelių linijose, pasižyminčiose skirtinga tiriamų receptorių raiška, tyrimai bus atliekami tėkmės </w:t>
            </w:r>
            <w:proofErr w:type="spellStart"/>
            <w:r w:rsidRPr="008D528F">
              <w:rPr>
                <w:rFonts w:ascii="Times New Roman" w:eastAsia="Times New Roman" w:hAnsi="Times New Roman" w:cs="Times New Roman"/>
                <w:sz w:val="24"/>
                <w:szCs w:val="24"/>
                <w:lang w:eastAsia="lt-LT"/>
              </w:rPr>
              <w:t>citometrijos</w:t>
            </w:r>
            <w:proofErr w:type="spellEnd"/>
            <w:r w:rsidRPr="008D528F">
              <w:rPr>
                <w:rFonts w:ascii="Times New Roman" w:eastAsia="Times New Roman" w:hAnsi="Times New Roman" w:cs="Times New Roman"/>
                <w:sz w:val="24"/>
                <w:szCs w:val="24"/>
                <w:lang w:eastAsia="lt-LT"/>
              </w:rPr>
              <w:t xml:space="preserve"> metodika. Taip pat </w:t>
            </w:r>
            <w:proofErr w:type="spellStart"/>
            <w:r w:rsidRPr="008D528F">
              <w:rPr>
                <w:rFonts w:ascii="Times New Roman" w:eastAsia="Times New Roman" w:hAnsi="Times New Roman" w:cs="Times New Roman"/>
                <w:sz w:val="24"/>
                <w:szCs w:val="24"/>
                <w:lang w:eastAsia="lt-LT"/>
              </w:rPr>
              <w:t>fotosensibilizatorių</w:t>
            </w:r>
            <w:proofErr w:type="spellEnd"/>
            <w:r w:rsidRPr="008D528F">
              <w:rPr>
                <w:rFonts w:ascii="Times New Roman" w:eastAsia="Times New Roman" w:hAnsi="Times New Roman" w:cs="Times New Roman"/>
                <w:sz w:val="24"/>
                <w:szCs w:val="24"/>
                <w:lang w:eastAsia="lt-LT"/>
              </w:rPr>
              <w:t xml:space="preserve"> kiekiai bei jų sudėtis bus išanalizuoti </w:t>
            </w:r>
            <w:proofErr w:type="spellStart"/>
            <w:r w:rsidRPr="008D528F">
              <w:rPr>
                <w:rFonts w:ascii="Times New Roman" w:eastAsia="Times New Roman" w:hAnsi="Times New Roman" w:cs="Times New Roman"/>
                <w:sz w:val="24"/>
                <w:szCs w:val="24"/>
                <w:lang w:eastAsia="lt-LT"/>
              </w:rPr>
              <w:t>fluorescencinės</w:t>
            </w:r>
            <w:proofErr w:type="spellEnd"/>
            <w:r w:rsidRPr="008D528F">
              <w:rPr>
                <w:rFonts w:ascii="Times New Roman" w:eastAsia="Times New Roman" w:hAnsi="Times New Roman" w:cs="Times New Roman"/>
                <w:sz w:val="24"/>
                <w:szCs w:val="24"/>
                <w:lang w:eastAsia="lt-LT"/>
              </w:rPr>
              <w:t xml:space="preserve"> spektroskopijos metodais. Vėliau bus atliekami </w:t>
            </w:r>
            <w:proofErr w:type="spellStart"/>
            <w:r w:rsidRPr="008D528F">
              <w:rPr>
                <w:rFonts w:ascii="Times New Roman" w:eastAsia="Times New Roman" w:hAnsi="Times New Roman" w:cs="Times New Roman"/>
                <w:sz w:val="24"/>
                <w:szCs w:val="24"/>
                <w:lang w:eastAsia="lt-LT"/>
              </w:rPr>
              <w:t>fotosensibilizuotos</w:t>
            </w:r>
            <w:proofErr w:type="spellEnd"/>
            <w:r w:rsidRPr="008D528F">
              <w:rPr>
                <w:rFonts w:ascii="Times New Roman" w:eastAsia="Times New Roman" w:hAnsi="Times New Roman" w:cs="Times New Roman"/>
                <w:sz w:val="24"/>
                <w:szCs w:val="24"/>
                <w:lang w:eastAsia="lt-LT"/>
              </w:rPr>
              <w:t xml:space="preserve"> navikų terapijos tyrimai </w:t>
            </w:r>
            <w:proofErr w:type="spellStart"/>
            <w:r w:rsidRPr="008D528F">
              <w:rPr>
                <w:rFonts w:ascii="Times New Roman" w:eastAsia="Times New Roman" w:hAnsi="Times New Roman" w:cs="Times New Roman"/>
                <w:sz w:val="24"/>
                <w:szCs w:val="24"/>
                <w:lang w:eastAsia="lt-LT"/>
              </w:rPr>
              <w:t>in</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vitro</w:t>
            </w:r>
            <w:proofErr w:type="spellEnd"/>
            <w:r w:rsidRPr="008D528F">
              <w:rPr>
                <w:rFonts w:ascii="Times New Roman" w:eastAsia="Times New Roman" w:hAnsi="Times New Roman" w:cs="Times New Roman"/>
                <w:sz w:val="24"/>
                <w:szCs w:val="24"/>
                <w:lang w:eastAsia="lt-LT"/>
              </w:rPr>
              <w:t xml:space="preserve"> ir įvertintos ląstelių pažaidos.</w:t>
            </w:r>
          </w:p>
          <w:p w14:paraId="73296403" w14:textId="77777777" w:rsidR="008D528F" w:rsidRPr="008D528F" w:rsidRDefault="008D528F" w:rsidP="008D528F">
            <w:pPr>
              <w:spacing w:after="0" w:line="240" w:lineRule="auto"/>
              <w:jc w:val="both"/>
              <w:rPr>
                <w:rFonts w:ascii="Calibri" w:eastAsia="Times New Roman" w:hAnsi="Calibri" w:cs="Times New Roman"/>
                <w:lang w:eastAsia="lt-LT"/>
              </w:rPr>
            </w:pPr>
            <w:r w:rsidRPr="008D528F">
              <w:rPr>
                <w:rFonts w:ascii="Times New Roman" w:eastAsia="Times New Roman" w:hAnsi="Times New Roman" w:cs="Times New Roman"/>
                <w:sz w:val="24"/>
                <w:szCs w:val="24"/>
                <w:lang w:eastAsia="lt-LT"/>
              </w:rPr>
              <w:t xml:space="preserve">Skydliaukės folikulinės </w:t>
            </w:r>
            <w:proofErr w:type="spellStart"/>
            <w:r w:rsidRPr="008D528F">
              <w:rPr>
                <w:rFonts w:ascii="Times New Roman" w:eastAsia="Times New Roman" w:hAnsi="Times New Roman" w:cs="Times New Roman"/>
                <w:sz w:val="24"/>
                <w:szCs w:val="24"/>
                <w:lang w:eastAsia="lt-LT"/>
              </w:rPr>
              <w:t>karcinomos</w:t>
            </w:r>
            <w:proofErr w:type="spellEnd"/>
            <w:r w:rsidRPr="008D528F">
              <w:rPr>
                <w:rFonts w:ascii="Times New Roman" w:eastAsia="Times New Roman" w:hAnsi="Times New Roman" w:cs="Times New Roman"/>
                <w:sz w:val="24"/>
                <w:szCs w:val="24"/>
                <w:lang w:eastAsia="lt-LT"/>
              </w:rPr>
              <w:t xml:space="preserve"> diagnostika, visame pasaulyje, taip pat ir Lietuvoje, išlieka aktualia problema, kadangi dažniausiai naudojama citologinė analizė po </w:t>
            </w:r>
            <w:proofErr w:type="spellStart"/>
            <w:r w:rsidRPr="008D528F">
              <w:rPr>
                <w:rFonts w:ascii="Times New Roman" w:eastAsia="Times New Roman" w:hAnsi="Times New Roman" w:cs="Times New Roman"/>
                <w:sz w:val="24"/>
                <w:szCs w:val="24"/>
                <w:lang w:eastAsia="lt-LT"/>
              </w:rPr>
              <w:t>aspiracinės</w:t>
            </w:r>
            <w:proofErr w:type="spellEnd"/>
            <w:r w:rsidRPr="008D528F">
              <w:rPr>
                <w:rFonts w:ascii="Times New Roman" w:eastAsia="Times New Roman" w:hAnsi="Times New Roman" w:cs="Times New Roman"/>
                <w:sz w:val="24"/>
                <w:szCs w:val="24"/>
                <w:lang w:eastAsia="lt-LT"/>
              </w:rPr>
              <w:t xml:space="preserve"> skydliaukės biopsijos dažnai nepadeda atskirti </w:t>
            </w:r>
            <w:proofErr w:type="spellStart"/>
            <w:r w:rsidRPr="008D528F">
              <w:rPr>
                <w:rFonts w:ascii="Times New Roman" w:eastAsia="Times New Roman" w:hAnsi="Times New Roman" w:cs="Times New Roman"/>
                <w:sz w:val="24"/>
                <w:szCs w:val="24"/>
                <w:lang w:eastAsia="lt-LT"/>
              </w:rPr>
              <w:t>karcinomos</w:t>
            </w:r>
            <w:proofErr w:type="spellEnd"/>
            <w:r w:rsidRPr="008D528F">
              <w:rPr>
                <w:rFonts w:ascii="Times New Roman" w:eastAsia="Times New Roman" w:hAnsi="Times New Roman" w:cs="Times New Roman"/>
                <w:sz w:val="24"/>
                <w:szCs w:val="24"/>
                <w:lang w:eastAsia="lt-LT"/>
              </w:rPr>
              <w:t xml:space="preserve"> nuo skydliaukės folikulinės </w:t>
            </w:r>
            <w:proofErr w:type="spellStart"/>
            <w:r w:rsidRPr="008D528F">
              <w:rPr>
                <w:rFonts w:ascii="Times New Roman" w:eastAsia="Times New Roman" w:hAnsi="Times New Roman" w:cs="Times New Roman"/>
                <w:sz w:val="24"/>
                <w:szCs w:val="24"/>
                <w:lang w:eastAsia="lt-LT"/>
              </w:rPr>
              <w:t>neoplazijos</w:t>
            </w:r>
            <w:proofErr w:type="spellEnd"/>
            <w:r w:rsidRPr="008D528F">
              <w:rPr>
                <w:rFonts w:ascii="Times New Roman" w:eastAsia="Times New Roman" w:hAnsi="Times New Roman" w:cs="Times New Roman"/>
                <w:sz w:val="24"/>
                <w:szCs w:val="24"/>
                <w:lang w:eastAsia="lt-LT"/>
              </w:rPr>
              <w:t xml:space="preserve">. Dėl nepakankamo metodų, specifiškumo, pacientai, kuriems nustatyti skydliaukės folikuliniai pokyčiai, patiria bereikalingas </w:t>
            </w:r>
            <w:proofErr w:type="spellStart"/>
            <w:r w:rsidRPr="008D528F">
              <w:rPr>
                <w:rFonts w:ascii="Times New Roman" w:eastAsia="Times New Roman" w:hAnsi="Times New Roman" w:cs="Times New Roman"/>
                <w:sz w:val="24"/>
                <w:szCs w:val="24"/>
                <w:lang w:eastAsia="lt-LT"/>
              </w:rPr>
              <w:t>invalidizuojančias</w:t>
            </w:r>
            <w:proofErr w:type="spellEnd"/>
            <w:r w:rsidRPr="008D528F">
              <w:rPr>
                <w:rFonts w:ascii="Times New Roman" w:eastAsia="Times New Roman" w:hAnsi="Times New Roman" w:cs="Times New Roman"/>
                <w:sz w:val="24"/>
                <w:szCs w:val="24"/>
                <w:lang w:eastAsia="lt-LT"/>
              </w:rPr>
              <w:t xml:space="preserve"> chirurgines intervencijas. Su diagnostikos metodų specifiškumo problema susiduriama ir melanomos diagnostikoje, kai reikia atskirti </w:t>
            </w:r>
            <w:proofErr w:type="spellStart"/>
            <w:r w:rsidRPr="008D528F">
              <w:rPr>
                <w:rFonts w:ascii="Times New Roman" w:eastAsia="Times New Roman" w:hAnsi="Times New Roman" w:cs="Times New Roman"/>
                <w:sz w:val="24"/>
                <w:szCs w:val="24"/>
                <w:lang w:eastAsia="lt-LT"/>
              </w:rPr>
              <w:t>dispastinius</w:t>
            </w:r>
            <w:proofErr w:type="spellEnd"/>
            <w:r w:rsidRPr="008D528F">
              <w:rPr>
                <w:rFonts w:ascii="Times New Roman" w:eastAsia="Times New Roman" w:hAnsi="Times New Roman" w:cs="Times New Roman"/>
                <w:sz w:val="24"/>
                <w:szCs w:val="24"/>
                <w:lang w:eastAsia="lt-LT"/>
              </w:rPr>
              <w:t xml:space="preserve"> apgamus ir melanomą. O prostatos </w:t>
            </w:r>
            <w:proofErr w:type="spellStart"/>
            <w:r w:rsidRPr="008D528F">
              <w:rPr>
                <w:rFonts w:ascii="Times New Roman" w:eastAsia="Times New Roman" w:hAnsi="Times New Roman" w:cs="Times New Roman"/>
                <w:sz w:val="24"/>
                <w:szCs w:val="24"/>
                <w:lang w:eastAsia="lt-LT"/>
              </w:rPr>
              <w:t>karcinomos</w:t>
            </w:r>
            <w:proofErr w:type="spellEnd"/>
            <w:r w:rsidRPr="008D528F">
              <w:rPr>
                <w:rFonts w:ascii="Times New Roman" w:eastAsia="Times New Roman" w:hAnsi="Times New Roman" w:cs="Times New Roman"/>
                <w:sz w:val="24"/>
                <w:szCs w:val="24"/>
                <w:lang w:eastAsia="lt-LT"/>
              </w:rPr>
              <w:t xml:space="preserve"> diagnostikos problema – kliniškai reikšmingos </w:t>
            </w:r>
            <w:proofErr w:type="spellStart"/>
            <w:r w:rsidRPr="008D528F">
              <w:rPr>
                <w:rFonts w:ascii="Times New Roman" w:eastAsia="Times New Roman" w:hAnsi="Times New Roman" w:cs="Times New Roman"/>
                <w:sz w:val="24"/>
                <w:szCs w:val="24"/>
                <w:lang w:eastAsia="lt-LT"/>
              </w:rPr>
              <w:t>karcinomos</w:t>
            </w:r>
            <w:proofErr w:type="spellEnd"/>
            <w:r w:rsidRPr="008D528F">
              <w:rPr>
                <w:rFonts w:ascii="Times New Roman" w:eastAsia="Times New Roman" w:hAnsi="Times New Roman" w:cs="Times New Roman"/>
                <w:sz w:val="24"/>
                <w:szCs w:val="24"/>
                <w:lang w:eastAsia="lt-LT"/>
              </w:rPr>
              <w:t xml:space="preserve"> atskyrimas nuo kliniškai nereikšmingos, kadangi kliniškai nereikšminga prostatos </w:t>
            </w:r>
            <w:proofErr w:type="spellStart"/>
            <w:r w:rsidRPr="008D528F">
              <w:rPr>
                <w:rFonts w:ascii="Times New Roman" w:eastAsia="Times New Roman" w:hAnsi="Times New Roman" w:cs="Times New Roman"/>
                <w:sz w:val="24"/>
                <w:szCs w:val="24"/>
                <w:lang w:eastAsia="lt-LT"/>
              </w:rPr>
              <w:t>karcinoma</w:t>
            </w:r>
            <w:proofErr w:type="spellEnd"/>
            <w:r w:rsidRPr="008D528F">
              <w:rPr>
                <w:rFonts w:ascii="Times New Roman" w:eastAsia="Times New Roman" w:hAnsi="Times New Roman" w:cs="Times New Roman"/>
                <w:sz w:val="24"/>
                <w:szCs w:val="24"/>
                <w:lang w:eastAsia="lt-LT"/>
              </w:rPr>
              <w:t xml:space="preserve"> progresuoja lėtai ir nesukelia pavojaus paciento gyvybei. Taip pat iškyla ir prostatos biopsijų tikslumo ir tikslingumo problema. Potencialūs molekuliniai žymenys neinvazinių metodų kūrimui – kraujyje cirkuliuojančios </w:t>
            </w:r>
            <w:proofErr w:type="spellStart"/>
            <w:r w:rsidRPr="008D528F">
              <w:rPr>
                <w:rFonts w:ascii="Times New Roman" w:eastAsia="Times New Roman" w:hAnsi="Times New Roman" w:cs="Times New Roman"/>
                <w:sz w:val="24"/>
                <w:szCs w:val="24"/>
                <w:lang w:eastAsia="lt-LT"/>
              </w:rPr>
              <w:t>nukleorūgštys</w:t>
            </w:r>
            <w:proofErr w:type="spellEnd"/>
            <w:r w:rsidRPr="008D528F">
              <w:rPr>
                <w:rFonts w:ascii="Times New Roman" w:eastAsia="Times New Roman" w:hAnsi="Times New Roman" w:cs="Times New Roman"/>
                <w:sz w:val="24"/>
                <w:szCs w:val="24"/>
                <w:lang w:eastAsia="lt-LT"/>
              </w:rPr>
              <w:t xml:space="preserve"> ir iš vėžinių ląstelių </w:t>
            </w:r>
            <w:proofErr w:type="spellStart"/>
            <w:r w:rsidRPr="008D528F">
              <w:rPr>
                <w:rFonts w:ascii="Times New Roman" w:eastAsia="Times New Roman" w:hAnsi="Times New Roman" w:cs="Times New Roman"/>
                <w:sz w:val="24"/>
                <w:szCs w:val="24"/>
                <w:lang w:eastAsia="lt-LT"/>
              </w:rPr>
              <w:t>sekretuojami</w:t>
            </w:r>
            <w:proofErr w:type="spellEnd"/>
            <w:r w:rsidRPr="008D528F">
              <w:rPr>
                <w:rFonts w:ascii="Times New Roman" w:eastAsia="Times New Roman" w:hAnsi="Times New Roman" w:cs="Times New Roman"/>
                <w:sz w:val="24"/>
                <w:szCs w:val="24"/>
                <w:lang w:eastAsia="lt-LT"/>
              </w:rPr>
              <w:t xml:space="preserve"> baltymai. Cirkuliuojančių </w:t>
            </w:r>
            <w:proofErr w:type="spellStart"/>
            <w:r w:rsidRPr="008D528F">
              <w:rPr>
                <w:rFonts w:ascii="Times New Roman" w:eastAsia="Times New Roman" w:hAnsi="Times New Roman" w:cs="Times New Roman"/>
                <w:sz w:val="24"/>
                <w:szCs w:val="24"/>
                <w:lang w:eastAsia="lt-LT"/>
              </w:rPr>
              <w:t>nukleorūgščių</w:t>
            </w:r>
            <w:proofErr w:type="spellEnd"/>
            <w:r w:rsidRPr="008D528F">
              <w:rPr>
                <w:rFonts w:ascii="Times New Roman" w:eastAsia="Times New Roman" w:hAnsi="Times New Roman" w:cs="Times New Roman"/>
                <w:sz w:val="24"/>
                <w:szCs w:val="24"/>
                <w:lang w:eastAsia="lt-LT"/>
              </w:rPr>
              <w:t xml:space="preserve"> potencialo ankstyvajai vėžio diagnostikai bei vėžio diagnostikos veiksmingumo plėtrai vertinimui planuojama naudoti visuminius analizės metodus (</w:t>
            </w:r>
            <w:proofErr w:type="spellStart"/>
            <w:r w:rsidRPr="008D528F">
              <w:rPr>
                <w:rFonts w:ascii="Times New Roman" w:eastAsia="Times New Roman" w:hAnsi="Times New Roman" w:cs="Times New Roman"/>
                <w:sz w:val="24"/>
                <w:szCs w:val="24"/>
                <w:lang w:eastAsia="lt-LT"/>
              </w:rPr>
              <w:t>proteomika</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transkriptomika</w:t>
            </w:r>
            <w:proofErr w:type="spellEnd"/>
            <w:r w:rsidRPr="008D528F">
              <w:rPr>
                <w:rFonts w:ascii="Times New Roman" w:eastAsia="Times New Roman" w:hAnsi="Times New Roman" w:cs="Times New Roman"/>
                <w:sz w:val="24"/>
                <w:szCs w:val="24"/>
                <w:lang w:eastAsia="lt-LT"/>
              </w:rPr>
              <w:t xml:space="preserve">, naujos kartos </w:t>
            </w:r>
            <w:proofErr w:type="spellStart"/>
            <w:r w:rsidRPr="008D528F">
              <w:rPr>
                <w:rFonts w:ascii="Times New Roman" w:eastAsia="Times New Roman" w:hAnsi="Times New Roman" w:cs="Times New Roman"/>
                <w:sz w:val="24"/>
                <w:szCs w:val="24"/>
                <w:lang w:eastAsia="lt-LT"/>
              </w:rPr>
              <w:t>sekoskaita</w:t>
            </w:r>
            <w:proofErr w:type="spellEnd"/>
            <w:r w:rsidRPr="008D528F">
              <w:rPr>
                <w:rFonts w:ascii="Times New Roman" w:eastAsia="Times New Roman" w:hAnsi="Times New Roman" w:cs="Times New Roman"/>
                <w:sz w:val="24"/>
                <w:szCs w:val="24"/>
                <w:lang w:eastAsia="lt-LT"/>
              </w:rPr>
              <w:t xml:space="preserve">). Analizėms planuojama naudoti pacientų navikų </w:t>
            </w:r>
            <w:proofErr w:type="spellStart"/>
            <w:r w:rsidRPr="008D528F">
              <w:rPr>
                <w:rFonts w:ascii="Times New Roman" w:eastAsia="Times New Roman" w:hAnsi="Times New Roman" w:cs="Times New Roman"/>
                <w:sz w:val="24"/>
                <w:szCs w:val="24"/>
                <w:lang w:eastAsia="lt-LT"/>
              </w:rPr>
              <w:t>ėminius</w:t>
            </w:r>
            <w:proofErr w:type="spellEnd"/>
            <w:r w:rsidRPr="008D528F">
              <w:rPr>
                <w:rFonts w:ascii="Times New Roman" w:eastAsia="Times New Roman" w:hAnsi="Times New Roman" w:cs="Times New Roman"/>
                <w:sz w:val="24"/>
                <w:szCs w:val="24"/>
                <w:lang w:eastAsia="lt-LT"/>
              </w:rPr>
              <w:t xml:space="preserve"> ir tyrimų modelius.</w:t>
            </w:r>
            <w:r w:rsidRPr="008D528F">
              <w:rPr>
                <w:rFonts w:ascii="Calibri" w:eastAsia="Times New Roman" w:hAnsi="Calibri" w:cs="Times New Roman"/>
                <w:lang w:eastAsia="lt-LT"/>
              </w:rPr>
              <w:t xml:space="preserve"> </w:t>
            </w:r>
          </w:p>
        </w:tc>
      </w:tr>
      <w:tr w:rsidR="008D528F" w:rsidRPr="008D528F" w14:paraId="73296483" w14:textId="77777777" w:rsidTr="00444D77">
        <w:tc>
          <w:tcPr>
            <w:tcW w:w="9816" w:type="dxa"/>
            <w:shd w:val="clear" w:color="auto" w:fill="auto"/>
          </w:tcPr>
          <w:p w14:paraId="73296405" w14:textId="77777777" w:rsidR="008D528F" w:rsidRPr="008D528F" w:rsidRDefault="008D528F" w:rsidP="008D528F">
            <w:pPr>
              <w:spacing w:after="0" w:line="240" w:lineRule="auto"/>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b/>
                <w:sz w:val="24"/>
                <w:szCs w:val="24"/>
                <w:lang w:eastAsia="lt-LT"/>
              </w:rPr>
              <w:lastRenderedPageBreak/>
              <w:t xml:space="preserve">    5. Tyrimų etapai ir jų charakteristikos; detalus įgyvendinimo planas</w:t>
            </w:r>
          </w:p>
          <w:p w14:paraId="73296406"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Uždavinio įgyvendinimui bus taikomos šios priemonės:</w:t>
            </w:r>
          </w:p>
          <w:p w14:paraId="73296407"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    5.1</w:t>
            </w:r>
            <w:r w:rsidR="00D74E34">
              <w:rPr>
                <w:rFonts w:ascii="Times New Roman" w:eastAsia="Times New Roman" w:hAnsi="Times New Roman" w:cs="Times New Roman"/>
                <w:sz w:val="24"/>
                <w:szCs w:val="24"/>
                <w:lang w:eastAsia="lt-LT"/>
              </w:rPr>
              <w:t>.</w:t>
            </w:r>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Multifunkcinių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nanodarinių</w:t>
            </w:r>
            <w:proofErr w:type="spellEnd"/>
            <w:r w:rsidRPr="008D528F">
              <w:rPr>
                <w:rFonts w:ascii="Times New Roman" w:eastAsia="Times New Roman" w:hAnsi="Times New Roman" w:cs="Times New Roman"/>
                <w:sz w:val="24"/>
                <w:szCs w:val="24"/>
                <w:lang w:eastAsia="lt-LT"/>
              </w:rPr>
              <w:t>, biologiškai aktyvių molekulių taikytinų ankstyvai onkologinių susirgimų diagnostikai ir terapijai tyrimai.</w:t>
            </w:r>
          </w:p>
          <w:p w14:paraId="73296408"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Pagrindiniai planuojamų </w:t>
            </w:r>
            <w:proofErr w:type="spellStart"/>
            <w:r w:rsidRPr="008D528F">
              <w:rPr>
                <w:rFonts w:ascii="Times New Roman" w:eastAsia="Times New Roman" w:hAnsi="Times New Roman" w:cs="Times New Roman"/>
                <w:sz w:val="24"/>
                <w:szCs w:val="24"/>
                <w:lang w:eastAsia="lt-LT"/>
              </w:rPr>
              <w:t>multifunkcinių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nanodarinių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fotofizikinių</w:t>
            </w:r>
            <w:proofErr w:type="spellEnd"/>
            <w:r w:rsidRPr="008D528F">
              <w:rPr>
                <w:rFonts w:ascii="Times New Roman" w:eastAsia="Times New Roman" w:hAnsi="Times New Roman" w:cs="Times New Roman"/>
                <w:sz w:val="24"/>
                <w:szCs w:val="24"/>
                <w:lang w:eastAsia="lt-LT"/>
              </w:rPr>
              <w:t xml:space="preserve">, fotocheminių, spektrinių ir erdvinių savybių tyrimų etapai: susintetinti ir </w:t>
            </w:r>
            <w:proofErr w:type="spellStart"/>
            <w:r w:rsidRPr="008D528F">
              <w:rPr>
                <w:rFonts w:ascii="Times New Roman" w:eastAsia="Times New Roman" w:hAnsi="Times New Roman" w:cs="Times New Roman"/>
                <w:sz w:val="24"/>
                <w:szCs w:val="24"/>
                <w:lang w:eastAsia="lt-LT"/>
              </w:rPr>
              <w:t>funkcionalizuoti</w:t>
            </w:r>
            <w:proofErr w:type="spellEnd"/>
            <w:r w:rsidRPr="008D528F">
              <w:rPr>
                <w:rFonts w:ascii="Times New Roman" w:eastAsia="Times New Roman" w:hAnsi="Times New Roman" w:cs="Times New Roman"/>
                <w:sz w:val="24"/>
                <w:szCs w:val="24"/>
                <w:lang w:eastAsia="lt-LT"/>
              </w:rPr>
              <w:t xml:space="preserve"> įvairių tipų </w:t>
            </w:r>
            <w:proofErr w:type="spellStart"/>
            <w:r w:rsidRPr="008D528F">
              <w:rPr>
                <w:rFonts w:ascii="Times New Roman" w:eastAsia="Times New Roman" w:hAnsi="Times New Roman" w:cs="Times New Roman"/>
                <w:sz w:val="24"/>
                <w:szCs w:val="24"/>
                <w:lang w:eastAsia="lt-LT"/>
              </w:rPr>
              <w:t>nanodaleles</w:t>
            </w:r>
            <w:proofErr w:type="spellEnd"/>
            <w:r w:rsidRPr="008D528F">
              <w:rPr>
                <w:rFonts w:ascii="Times New Roman" w:eastAsia="Times New Roman" w:hAnsi="Times New Roman" w:cs="Times New Roman"/>
                <w:sz w:val="24"/>
                <w:szCs w:val="24"/>
                <w:lang w:eastAsia="lt-LT"/>
              </w:rPr>
              <w:t xml:space="preserve">; ištirti jų erdvines, spektrines bei magnetines charakteristikas; nustatyti jų koloidinį stabilumą ir </w:t>
            </w:r>
            <w:proofErr w:type="spellStart"/>
            <w:r w:rsidRPr="008D528F">
              <w:rPr>
                <w:rFonts w:ascii="Times New Roman" w:eastAsia="Times New Roman" w:hAnsi="Times New Roman" w:cs="Times New Roman"/>
                <w:sz w:val="24"/>
                <w:szCs w:val="24"/>
                <w:lang w:eastAsia="lt-LT"/>
              </w:rPr>
              <w:t>fotostabilumą</w:t>
            </w:r>
            <w:proofErr w:type="spellEnd"/>
            <w:r w:rsidRPr="008D528F">
              <w:rPr>
                <w:rFonts w:ascii="Times New Roman" w:eastAsia="Times New Roman" w:hAnsi="Times New Roman" w:cs="Times New Roman"/>
                <w:sz w:val="24"/>
                <w:szCs w:val="24"/>
                <w:lang w:eastAsia="lt-LT"/>
              </w:rPr>
              <w:t xml:space="preserve">; įvertinti jų </w:t>
            </w:r>
            <w:proofErr w:type="spellStart"/>
            <w:r w:rsidRPr="008D528F">
              <w:rPr>
                <w:rFonts w:ascii="Times New Roman" w:eastAsia="Times New Roman" w:hAnsi="Times New Roman" w:cs="Times New Roman"/>
                <w:sz w:val="24"/>
                <w:szCs w:val="24"/>
                <w:lang w:eastAsia="lt-LT"/>
              </w:rPr>
              <w:t>fotosensibilizacines</w:t>
            </w:r>
            <w:proofErr w:type="spellEnd"/>
            <w:r w:rsidRPr="008D528F">
              <w:rPr>
                <w:rFonts w:ascii="Times New Roman" w:eastAsia="Times New Roman" w:hAnsi="Times New Roman" w:cs="Times New Roman"/>
                <w:sz w:val="24"/>
                <w:szCs w:val="24"/>
                <w:lang w:eastAsia="lt-LT"/>
              </w:rPr>
              <w:t xml:space="preserve"> ir </w:t>
            </w:r>
            <w:proofErr w:type="spellStart"/>
            <w:r w:rsidRPr="008D528F">
              <w:rPr>
                <w:rFonts w:ascii="Times New Roman" w:eastAsia="Times New Roman" w:hAnsi="Times New Roman" w:cs="Times New Roman"/>
                <w:sz w:val="24"/>
                <w:szCs w:val="24"/>
                <w:lang w:eastAsia="lt-LT"/>
              </w:rPr>
              <w:t>fototerapines</w:t>
            </w:r>
            <w:proofErr w:type="spellEnd"/>
            <w:r w:rsidRPr="008D528F">
              <w:rPr>
                <w:rFonts w:ascii="Times New Roman" w:eastAsia="Times New Roman" w:hAnsi="Times New Roman" w:cs="Times New Roman"/>
                <w:sz w:val="24"/>
                <w:szCs w:val="24"/>
                <w:lang w:eastAsia="lt-LT"/>
              </w:rPr>
              <w:t xml:space="preserve"> savybes; ištirti jų kaupimosi dinamiką, patekimo mechanizmus ir lokalizaciją skirtingo </w:t>
            </w:r>
            <w:proofErr w:type="spellStart"/>
            <w:r w:rsidRPr="008D528F">
              <w:rPr>
                <w:rFonts w:ascii="Times New Roman" w:eastAsia="Times New Roman" w:hAnsi="Times New Roman" w:cs="Times New Roman"/>
                <w:sz w:val="24"/>
                <w:szCs w:val="24"/>
                <w:lang w:eastAsia="lt-LT"/>
              </w:rPr>
              <w:t>piktybiškumo</w:t>
            </w:r>
            <w:proofErr w:type="spellEnd"/>
            <w:r w:rsidRPr="008D528F">
              <w:rPr>
                <w:rFonts w:ascii="Times New Roman" w:eastAsia="Times New Roman" w:hAnsi="Times New Roman" w:cs="Times New Roman"/>
                <w:sz w:val="24"/>
                <w:szCs w:val="24"/>
                <w:lang w:eastAsia="lt-LT"/>
              </w:rPr>
              <w:t xml:space="preserve"> navikinėse ląstelėse </w:t>
            </w:r>
            <w:proofErr w:type="spellStart"/>
            <w:r w:rsidRPr="008D528F">
              <w:rPr>
                <w:rFonts w:ascii="Times New Roman" w:eastAsia="Times New Roman" w:hAnsi="Times New Roman" w:cs="Times New Roman"/>
                <w:i/>
                <w:sz w:val="24"/>
                <w:szCs w:val="24"/>
                <w:lang w:eastAsia="lt-LT"/>
              </w:rPr>
              <w:t>in</w:t>
            </w:r>
            <w:proofErr w:type="spellEnd"/>
            <w:r w:rsidRPr="008D528F">
              <w:rPr>
                <w:rFonts w:ascii="Times New Roman" w:eastAsia="Times New Roman" w:hAnsi="Times New Roman" w:cs="Times New Roman"/>
                <w:i/>
                <w:sz w:val="24"/>
                <w:szCs w:val="24"/>
                <w:lang w:eastAsia="lt-LT"/>
              </w:rPr>
              <w:t xml:space="preserve"> </w:t>
            </w:r>
            <w:proofErr w:type="spellStart"/>
            <w:r w:rsidRPr="008D528F">
              <w:rPr>
                <w:rFonts w:ascii="Times New Roman" w:eastAsia="Times New Roman" w:hAnsi="Times New Roman" w:cs="Times New Roman"/>
                <w:i/>
                <w:sz w:val="24"/>
                <w:szCs w:val="24"/>
                <w:lang w:eastAsia="lt-LT"/>
              </w:rPr>
              <w:t>vitro</w:t>
            </w:r>
            <w:proofErr w:type="spellEnd"/>
            <w:r w:rsidRPr="008D528F">
              <w:rPr>
                <w:rFonts w:ascii="Times New Roman" w:eastAsia="Times New Roman" w:hAnsi="Times New Roman" w:cs="Times New Roman"/>
                <w:sz w:val="24"/>
                <w:szCs w:val="24"/>
                <w:lang w:eastAsia="lt-LT"/>
              </w:rPr>
              <w:t xml:space="preserve"> ir </w:t>
            </w:r>
            <w:proofErr w:type="spellStart"/>
            <w:r w:rsidRPr="008D528F">
              <w:rPr>
                <w:rFonts w:ascii="Times New Roman" w:eastAsia="Times New Roman" w:hAnsi="Times New Roman" w:cs="Times New Roman"/>
                <w:i/>
                <w:sz w:val="24"/>
                <w:szCs w:val="24"/>
                <w:lang w:eastAsia="lt-LT"/>
              </w:rPr>
              <w:t>in</w:t>
            </w:r>
            <w:proofErr w:type="spellEnd"/>
            <w:r w:rsidRPr="008D528F">
              <w:rPr>
                <w:rFonts w:ascii="Times New Roman" w:eastAsia="Times New Roman" w:hAnsi="Times New Roman" w:cs="Times New Roman"/>
                <w:i/>
                <w:sz w:val="24"/>
                <w:szCs w:val="24"/>
                <w:lang w:eastAsia="lt-LT"/>
              </w:rPr>
              <w:t xml:space="preserve"> </w:t>
            </w:r>
            <w:proofErr w:type="spellStart"/>
            <w:r w:rsidRPr="008D528F">
              <w:rPr>
                <w:rFonts w:ascii="Times New Roman" w:eastAsia="Times New Roman" w:hAnsi="Times New Roman" w:cs="Times New Roman"/>
                <w:i/>
                <w:sz w:val="24"/>
                <w:szCs w:val="24"/>
                <w:lang w:eastAsia="lt-LT"/>
              </w:rPr>
              <w:t>vivo</w:t>
            </w:r>
            <w:proofErr w:type="spellEnd"/>
            <w:r w:rsidRPr="008D528F">
              <w:rPr>
                <w:rFonts w:ascii="Times New Roman" w:eastAsia="Times New Roman" w:hAnsi="Times New Roman" w:cs="Times New Roman"/>
                <w:i/>
                <w:sz w:val="24"/>
                <w:szCs w:val="24"/>
                <w:lang w:eastAsia="lt-LT"/>
              </w:rPr>
              <w:t xml:space="preserve"> </w:t>
            </w:r>
            <w:r w:rsidRPr="008D528F">
              <w:rPr>
                <w:rFonts w:ascii="Times New Roman" w:eastAsia="Times New Roman" w:hAnsi="Times New Roman" w:cs="Times New Roman"/>
                <w:sz w:val="24"/>
                <w:szCs w:val="24"/>
                <w:lang w:eastAsia="lt-LT"/>
              </w:rPr>
              <w:t xml:space="preserve">biologinėse sistemose; įvertinti susintetintų </w:t>
            </w:r>
            <w:proofErr w:type="spellStart"/>
            <w:r w:rsidRPr="008D528F">
              <w:rPr>
                <w:rFonts w:ascii="Times New Roman" w:eastAsia="Times New Roman" w:hAnsi="Times New Roman" w:cs="Times New Roman"/>
                <w:sz w:val="24"/>
                <w:szCs w:val="24"/>
                <w:lang w:eastAsia="lt-LT"/>
              </w:rPr>
              <w:t>nanodarinių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toksiškumą</w:t>
            </w:r>
            <w:proofErr w:type="spellEnd"/>
            <w:r w:rsidRPr="008D528F">
              <w:rPr>
                <w:rFonts w:ascii="Times New Roman" w:eastAsia="Times New Roman" w:hAnsi="Times New Roman" w:cs="Times New Roman"/>
                <w:sz w:val="24"/>
                <w:szCs w:val="24"/>
                <w:lang w:eastAsia="lt-LT"/>
              </w:rPr>
              <w:t xml:space="preserve"> bei </w:t>
            </w:r>
            <w:proofErr w:type="spellStart"/>
            <w:r w:rsidRPr="008D528F">
              <w:rPr>
                <w:rFonts w:ascii="Times New Roman" w:eastAsia="Times New Roman" w:hAnsi="Times New Roman" w:cs="Times New Roman"/>
                <w:sz w:val="24"/>
                <w:szCs w:val="24"/>
                <w:lang w:eastAsia="lt-LT"/>
              </w:rPr>
              <w:t>ekotoksiškumą</w:t>
            </w:r>
            <w:proofErr w:type="spellEnd"/>
            <w:r w:rsidRPr="008D528F">
              <w:rPr>
                <w:rFonts w:ascii="Times New Roman" w:eastAsia="Times New Roman" w:hAnsi="Times New Roman" w:cs="Times New Roman"/>
                <w:sz w:val="24"/>
                <w:szCs w:val="24"/>
                <w:lang w:eastAsia="lt-LT"/>
              </w:rPr>
              <w:t xml:space="preserve">; modifikuoti </w:t>
            </w:r>
            <w:proofErr w:type="spellStart"/>
            <w:r w:rsidRPr="008D528F">
              <w:rPr>
                <w:rFonts w:ascii="Times New Roman" w:eastAsia="Times New Roman" w:hAnsi="Times New Roman" w:cs="Times New Roman"/>
                <w:sz w:val="24"/>
                <w:szCs w:val="24"/>
                <w:lang w:eastAsia="lt-LT"/>
              </w:rPr>
              <w:t>nanodarinių</w:t>
            </w:r>
            <w:proofErr w:type="spellEnd"/>
            <w:r w:rsidRPr="008D528F">
              <w:rPr>
                <w:rFonts w:ascii="Times New Roman" w:eastAsia="Times New Roman" w:hAnsi="Times New Roman" w:cs="Times New Roman"/>
                <w:sz w:val="24"/>
                <w:szCs w:val="24"/>
                <w:lang w:eastAsia="lt-LT"/>
              </w:rPr>
              <w:t xml:space="preserve"> paviršių specifinio atpažinimo </w:t>
            </w:r>
            <w:proofErr w:type="spellStart"/>
            <w:r w:rsidRPr="008D528F">
              <w:rPr>
                <w:rFonts w:ascii="Times New Roman" w:eastAsia="Times New Roman" w:hAnsi="Times New Roman" w:cs="Times New Roman"/>
                <w:sz w:val="24"/>
                <w:szCs w:val="24"/>
                <w:lang w:eastAsia="lt-LT"/>
              </w:rPr>
              <w:t>biomolekulėmis</w:t>
            </w:r>
            <w:proofErr w:type="spellEnd"/>
            <w:r w:rsidRPr="008D528F">
              <w:rPr>
                <w:rFonts w:ascii="Times New Roman" w:eastAsia="Times New Roman" w:hAnsi="Times New Roman" w:cs="Times New Roman"/>
                <w:sz w:val="24"/>
                <w:szCs w:val="24"/>
                <w:lang w:eastAsia="lt-LT"/>
              </w:rPr>
              <w:t xml:space="preserve"> bei įvertinti jų specifiškumą skirtingo biologinio sudėtingumo modelinėse sistemose.</w:t>
            </w:r>
          </w:p>
          <w:p w14:paraId="73296409"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Pagrindiniai planuojamų </w:t>
            </w:r>
            <w:proofErr w:type="spellStart"/>
            <w:r w:rsidRPr="008D528F">
              <w:rPr>
                <w:rFonts w:ascii="Times New Roman" w:eastAsia="Times New Roman" w:hAnsi="Times New Roman" w:cs="Times New Roman"/>
                <w:sz w:val="24"/>
                <w:szCs w:val="24"/>
                <w:lang w:eastAsia="lt-LT"/>
              </w:rPr>
              <w:t>multifunkcinių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nanodarinių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Calibri" w:hAnsi="Times New Roman" w:cs="Times New Roman"/>
                <w:i/>
                <w:sz w:val="24"/>
                <w:szCs w:val="24"/>
                <w:shd w:val="clear" w:color="auto" w:fill="FFFFFF"/>
              </w:rPr>
              <w:t>in</w:t>
            </w:r>
            <w:proofErr w:type="spellEnd"/>
            <w:r w:rsidRPr="008D528F">
              <w:rPr>
                <w:rFonts w:ascii="Times New Roman" w:eastAsia="Calibri" w:hAnsi="Times New Roman" w:cs="Times New Roman"/>
                <w:i/>
                <w:sz w:val="24"/>
                <w:szCs w:val="24"/>
                <w:shd w:val="clear" w:color="auto" w:fill="FFFFFF"/>
              </w:rPr>
              <w:t xml:space="preserve"> </w:t>
            </w:r>
            <w:proofErr w:type="spellStart"/>
            <w:r w:rsidRPr="008D528F">
              <w:rPr>
                <w:rFonts w:ascii="Times New Roman" w:eastAsia="Calibri" w:hAnsi="Times New Roman" w:cs="Times New Roman"/>
                <w:i/>
                <w:sz w:val="24"/>
                <w:szCs w:val="24"/>
                <w:shd w:val="clear" w:color="auto" w:fill="FFFFFF"/>
              </w:rPr>
              <w:t>vitro</w:t>
            </w:r>
            <w:proofErr w:type="spellEnd"/>
            <w:r w:rsidRPr="008D528F">
              <w:rPr>
                <w:rFonts w:ascii="Times New Roman" w:eastAsia="Calibri" w:hAnsi="Times New Roman" w:cs="Times New Roman"/>
                <w:sz w:val="24"/>
                <w:szCs w:val="24"/>
                <w:shd w:val="clear" w:color="auto" w:fill="FFFFFF"/>
              </w:rPr>
              <w:t xml:space="preserve"> ir </w:t>
            </w:r>
            <w:proofErr w:type="spellStart"/>
            <w:r w:rsidRPr="008D528F">
              <w:rPr>
                <w:rFonts w:ascii="Times New Roman" w:eastAsia="Calibri" w:hAnsi="Times New Roman" w:cs="Times New Roman"/>
                <w:i/>
                <w:sz w:val="24"/>
                <w:szCs w:val="24"/>
                <w:shd w:val="clear" w:color="auto" w:fill="FFFFFF"/>
              </w:rPr>
              <w:t>in</w:t>
            </w:r>
            <w:proofErr w:type="spellEnd"/>
            <w:r w:rsidRPr="008D528F">
              <w:rPr>
                <w:rFonts w:ascii="Times New Roman" w:eastAsia="Calibri" w:hAnsi="Times New Roman" w:cs="Times New Roman"/>
                <w:i/>
                <w:sz w:val="24"/>
                <w:szCs w:val="24"/>
                <w:shd w:val="clear" w:color="auto" w:fill="FFFFFF"/>
              </w:rPr>
              <w:t xml:space="preserve"> </w:t>
            </w:r>
            <w:proofErr w:type="spellStart"/>
            <w:r w:rsidRPr="008D528F">
              <w:rPr>
                <w:rFonts w:ascii="Times New Roman" w:eastAsia="Calibri" w:hAnsi="Times New Roman" w:cs="Times New Roman"/>
                <w:i/>
                <w:sz w:val="24"/>
                <w:szCs w:val="24"/>
                <w:shd w:val="clear" w:color="auto" w:fill="FFFFFF"/>
              </w:rPr>
              <w:t>vivo</w:t>
            </w:r>
            <w:proofErr w:type="spellEnd"/>
            <w:r w:rsidRPr="008D528F">
              <w:rPr>
                <w:rFonts w:ascii="Times New Roman" w:eastAsia="Times New Roman" w:hAnsi="Times New Roman" w:cs="Times New Roman"/>
                <w:sz w:val="24"/>
                <w:szCs w:val="24"/>
                <w:lang w:eastAsia="lt-LT"/>
              </w:rPr>
              <w:t xml:space="preserve"> tyrimų etapai: ištirti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kaupimosi dinamiką, patekimo mechanizmus ir lokalizaciją </w:t>
            </w:r>
            <w:proofErr w:type="spellStart"/>
            <w:r w:rsidRPr="008D528F">
              <w:rPr>
                <w:rFonts w:ascii="Times New Roman" w:eastAsia="Times New Roman" w:hAnsi="Times New Roman" w:cs="Times New Roman"/>
                <w:sz w:val="24"/>
                <w:szCs w:val="24"/>
                <w:lang w:eastAsia="lt-LT"/>
              </w:rPr>
              <w:t>mezenchiminėse</w:t>
            </w:r>
            <w:proofErr w:type="spellEnd"/>
            <w:r w:rsidRPr="008D528F">
              <w:rPr>
                <w:rFonts w:ascii="Times New Roman" w:eastAsia="Times New Roman" w:hAnsi="Times New Roman" w:cs="Times New Roman"/>
                <w:sz w:val="24"/>
                <w:szCs w:val="24"/>
                <w:lang w:eastAsia="lt-LT"/>
              </w:rPr>
              <w:t xml:space="preserve"> ir vėžinėse kamieninėse ląstelėse; įvertinti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toksiškumą</w:t>
            </w:r>
            <w:proofErr w:type="spellEnd"/>
            <w:r w:rsidRPr="008D528F">
              <w:rPr>
                <w:rFonts w:ascii="Times New Roman" w:eastAsia="Times New Roman" w:hAnsi="Times New Roman" w:cs="Times New Roman"/>
                <w:sz w:val="24"/>
                <w:szCs w:val="24"/>
                <w:lang w:eastAsia="lt-LT"/>
              </w:rPr>
              <w:t xml:space="preserve"> ir poveikį </w:t>
            </w:r>
            <w:proofErr w:type="spellStart"/>
            <w:r w:rsidRPr="008D528F">
              <w:rPr>
                <w:rFonts w:ascii="Times New Roman" w:eastAsia="Times New Roman" w:hAnsi="Times New Roman" w:cs="Times New Roman"/>
                <w:sz w:val="24"/>
                <w:szCs w:val="24"/>
                <w:lang w:eastAsia="lt-LT"/>
              </w:rPr>
              <w:t>mezenchiminių</w:t>
            </w:r>
            <w:proofErr w:type="spellEnd"/>
            <w:r w:rsidRPr="008D528F">
              <w:rPr>
                <w:rFonts w:ascii="Times New Roman" w:eastAsia="Times New Roman" w:hAnsi="Times New Roman" w:cs="Times New Roman"/>
                <w:sz w:val="24"/>
                <w:szCs w:val="24"/>
                <w:lang w:eastAsia="lt-LT"/>
              </w:rPr>
              <w:t xml:space="preserve"> kamieninių ląstelių savybėms (diferenciacijai, spontaninei diferenciacijai, migracijai); įvertinti </w:t>
            </w:r>
            <w:proofErr w:type="spellStart"/>
            <w:r w:rsidRPr="008D528F">
              <w:rPr>
                <w:rFonts w:ascii="Times New Roman" w:eastAsia="Times New Roman" w:hAnsi="Times New Roman" w:cs="Times New Roman"/>
                <w:sz w:val="24"/>
                <w:szCs w:val="24"/>
                <w:lang w:eastAsia="lt-LT"/>
              </w:rPr>
              <w:t>nanodaleles</w:t>
            </w:r>
            <w:proofErr w:type="spellEnd"/>
            <w:r w:rsidRPr="008D528F">
              <w:rPr>
                <w:rFonts w:ascii="Times New Roman" w:eastAsia="Times New Roman" w:hAnsi="Times New Roman" w:cs="Times New Roman"/>
                <w:sz w:val="24"/>
                <w:szCs w:val="24"/>
                <w:lang w:eastAsia="lt-LT"/>
              </w:rPr>
              <w:t xml:space="preserve"> sukaupusių kamieninių ląstelių gebėjimą migruoti </w:t>
            </w:r>
            <w:proofErr w:type="spellStart"/>
            <w:r w:rsidRPr="008D528F">
              <w:rPr>
                <w:rFonts w:ascii="Times New Roman" w:eastAsia="Times New Roman" w:hAnsi="Times New Roman" w:cs="Times New Roman"/>
                <w:i/>
                <w:sz w:val="24"/>
                <w:szCs w:val="24"/>
                <w:lang w:eastAsia="lt-LT"/>
              </w:rPr>
              <w:t>invitro</w:t>
            </w:r>
            <w:proofErr w:type="spellEnd"/>
            <w:r w:rsidRPr="008D528F">
              <w:rPr>
                <w:rFonts w:ascii="Times New Roman" w:eastAsia="Times New Roman" w:hAnsi="Times New Roman" w:cs="Times New Roman"/>
                <w:sz w:val="24"/>
                <w:szCs w:val="24"/>
                <w:lang w:eastAsia="lt-LT"/>
              </w:rPr>
              <w:t xml:space="preserve">, optimizuoti migraciją </w:t>
            </w:r>
            <w:proofErr w:type="spellStart"/>
            <w:r w:rsidRPr="008D528F">
              <w:rPr>
                <w:rFonts w:ascii="Times New Roman" w:eastAsia="Times New Roman" w:hAnsi="Times New Roman" w:cs="Times New Roman"/>
                <w:sz w:val="24"/>
                <w:szCs w:val="24"/>
                <w:lang w:eastAsia="lt-LT"/>
              </w:rPr>
              <w:t>citokinų</w:t>
            </w:r>
            <w:proofErr w:type="spellEnd"/>
            <w:r w:rsidRPr="008D528F">
              <w:rPr>
                <w:rFonts w:ascii="Times New Roman" w:eastAsia="Times New Roman" w:hAnsi="Times New Roman" w:cs="Times New Roman"/>
                <w:sz w:val="24"/>
                <w:szCs w:val="24"/>
                <w:lang w:eastAsia="lt-LT"/>
              </w:rPr>
              <w:t xml:space="preserve"> poveiki; nustatyti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apsikeitimą tarp </w:t>
            </w:r>
            <w:proofErr w:type="spellStart"/>
            <w:r w:rsidRPr="008D528F">
              <w:rPr>
                <w:rFonts w:ascii="Times New Roman" w:eastAsia="Times New Roman" w:hAnsi="Times New Roman" w:cs="Times New Roman"/>
                <w:sz w:val="24"/>
                <w:szCs w:val="24"/>
                <w:lang w:eastAsia="lt-LT"/>
              </w:rPr>
              <w:t>mezenchiminių</w:t>
            </w:r>
            <w:proofErr w:type="spellEnd"/>
            <w:r w:rsidRPr="008D528F">
              <w:rPr>
                <w:rFonts w:ascii="Times New Roman" w:eastAsia="Times New Roman" w:hAnsi="Times New Roman" w:cs="Times New Roman"/>
                <w:sz w:val="24"/>
                <w:szCs w:val="24"/>
                <w:lang w:eastAsia="lt-LT"/>
              </w:rPr>
              <w:t xml:space="preserve"> ir vėžinių kamieninių ląstelių 2D ir 3D </w:t>
            </w:r>
            <w:proofErr w:type="spellStart"/>
            <w:r w:rsidRPr="008D528F">
              <w:rPr>
                <w:rFonts w:ascii="Times New Roman" w:eastAsia="Times New Roman" w:hAnsi="Times New Roman" w:cs="Times New Roman"/>
                <w:sz w:val="24"/>
                <w:szCs w:val="24"/>
                <w:lang w:eastAsia="lt-LT"/>
              </w:rPr>
              <w:t>kokultūrose</w:t>
            </w:r>
            <w:proofErr w:type="spellEnd"/>
            <w:r w:rsidRPr="008D528F">
              <w:rPr>
                <w:rFonts w:ascii="Times New Roman" w:eastAsia="Times New Roman" w:hAnsi="Times New Roman" w:cs="Times New Roman"/>
                <w:sz w:val="24"/>
                <w:szCs w:val="24"/>
                <w:lang w:eastAsia="lt-LT"/>
              </w:rPr>
              <w:t xml:space="preserve">; įvertinti </w:t>
            </w:r>
            <w:proofErr w:type="spellStart"/>
            <w:r w:rsidRPr="008D528F">
              <w:rPr>
                <w:rFonts w:ascii="Times New Roman" w:eastAsia="Times New Roman" w:hAnsi="Times New Roman" w:cs="Times New Roman"/>
                <w:sz w:val="24"/>
                <w:szCs w:val="24"/>
                <w:lang w:eastAsia="lt-LT"/>
              </w:rPr>
              <w:t>nanodaleles</w:t>
            </w:r>
            <w:proofErr w:type="spellEnd"/>
            <w:r w:rsidRPr="008D528F">
              <w:rPr>
                <w:rFonts w:ascii="Times New Roman" w:eastAsia="Times New Roman" w:hAnsi="Times New Roman" w:cs="Times New Roman"/>
                <w:sz w:val="24"/>
                <w:szCs w:val="24"/>
                <w:lang w:eastAsia="lt-LT"/>
              </w:rPr>
              <w:t xml:space="preserve"> sukaupusių kamieninių ląstelių gebėjimą migruoti </w:t>
            </w:r>
            <w:proofErr w:type="spellStart"/>
            <w:r w:rsidRPr="008D528F">
              <w:rPr>
                <w:rFonts w:ascii="Times New Roman" w:eastAsia="Times New Roman" w:hAnsi="Times New Roman" w:cs="Times New Roman"/>
                <w:i/>
                <w:sz w:val="24"/>
                <w:szCs w:val="24"/>
                <w:lang w:eastAsia="lt-LT"/>
              </w:rPr>
              <w:t>in</w:t>
            </w:r>
            <w:proofErr w:type="spellEnd"/>
            <w:r w:rsidRPr="008D528F">
              <w:rPr>
                <w:rFonts w:ascii="Times New Roman" w:eastAsia="Times New Roman" w:hAnsi="Times New Roman" w:cs="Times New Roman"/>
                <w:i/>
                <w:sz w:val="24"/>
                <w:szCs w:val="24"/>
                <w:lang w:eastAsia="lt-LT"/>
              </w:rPr>
              <w:t xml:space="preserve"> </w:t>
            </w:r>
            <w:proofErr w:type="spellStart"/>
            <w:r w:rsidRPr="008D528F">
              <w:rPr>
                <w:rFonts w:ascii="Times New Roman" w:eastAsia="Times New Roman" w:hAnsi="Times New Roman" w:cs="Times New Roman"/>
                <w:i/>
                <w:sz w:val="24"/>
                <w:szCs w:val="24"/>
                <w:lang w:eastAsia="lt-LT"/>
              </w:rPr>
              <w:t>vivo</w:t>
            </w:r>
            <w:proofErr w:type="spellEnd"/>
            <w:r w:rsidRPr="008D528F">
              <w:rPr>
                <w:rFonts w:ascii="Times New Roman" w:eastAsia="Times New Roman" w:hAnsi="Times New Roman" w:cs="Times New Roman"/>
                <w:sz w:val="24"/>
                <w:szCs w:val="24"/>
                <w:lang w:eastAsia="lt-LT"/>
              </w:rPr>
              <w:t xml:space="preserve"> naudojant imunodeficitines peles su suformuotais žmogaus vėžinių ląstelių navikais arba linijines peles su </w:t>
            </w:r>
            <w:proofErr w:type="spellStart"/>
            <w:r w:rsidRPr="008D528F">
              <w:rPr>
                <w:rFonts w:ascii="Times New Roman" w:eastAsia="Times New Roman" w:hAnsi="Times New Roman" w:cs="Times New Roman"/>
                <w:sz w:val="24"/>
                <w:szCs w:val="24"/>
                <w:lang w:eastAsia="lt-LT"/>
              </w:rPr>
              <w:t>singeniniais</w:t>
            </w:r>
            <w:proofErr w:type="spellEnd"/>
            <w:r w:rsidRPr="008D528F">
              <w:rPr>
                <w:rFonts w:ascii="Times New Roman" w:eastAsia="Times New Roman" w:hAnsi="Times New Roman" w:cs="Times New Roman"/>
                <w:sz w:val="24"/>
                <w:szCs w:val="24"/>
                <w:lang w:eastAsia="lt-LT"/>
              </w:rPr>
              <w:t xml:space="preserve"> navikais; nustatyti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apsikeitimą tarp </w:t>
            </w:r>
            <w:proofErr w:type="spellStart"/>
            <w:r w:rsidRPr="008D528F">
              <w:rPr>
                <w:rFonts w:ascii="Times New Roman" w:eastAsia="Times New Roman" w:hAnsi="Times New Roman" w:cs="Times New Roman"/>
                <w:sz w:val="24"/>
                <w:szCs w:val="24"/>
                <w:lang w:eastAsia="lt-LT"/>
              </w:rPr>
              <w:t>mezenchiminių</w:t>
            </w:r>
            <w:proofErr w:type="spellEnd"/>
            <w:r w:rsidRPr="008D528F">
              <w:rPr>
                <w:rFonts w:ascii="Times New Roman" w:eastAsia="Times New Roman" w:hAnsi="Times New Roman" w:cs="Times New Roman"/>
                <w:sz w:val="24"/>
                <w:szCs w:val="24"/>
                <w:lang w:eastAsia="lt-LT"/>
              </w:rPr>
              <w:t xml:space="preserve"> ir vėžinių kamieninių ląstelių 2D ir 3D </w:t>
            </w:r>
            <w:proofErr w:type="spellStart"/>
            <w:r w:rsidRPr="008D528F">
              <w:rPr>
                <w:rFonts w:ascii="Times New Roman" w:eastAsia="Times New Roman" w:hAnsi="Times New Roman" w:cs="Times New Roman"/>
                <w:sz w:val="24"/>
                <w:szCs w:val="24"/>
                <w:lang w:eastAsia="lt-LT"/>
              </w:rPr>
              <w:t>kokultūrose</w:t>
            </w:r>
            <w:proofErr w:type="spellEnd"/>
            <w:r w:rsidRPr="008D528F">
              <w:rPr>
                <w:rFonts w:ascii="Times New Roman" w:eastAsia="Times New Roman" w:hAnsi="Times New Roman" w:cs="Times New Roman"/>
                <w:sz w:val="24"/>
                <w:szCs w:val="24"/>
                <w:lang w:eastAsia="lt-LT"/>
              </w:rPr>
              <w:t xml:space="preserve">. </w:t>
            </w:r>
          </w:p>
          <w:p w14:paraId="7329640A"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Pagrindiniai endogeninių biologiškai aktyvių molekulių tyrimų etapai: nustatyti </w:t>
            </w:r>
            <w:proofErr w:type="spellStart"/>
            <w:r w:rsidRPr="008D528F">
              <w:rPr>
                <w:rFonts w:ascii="Times New Roman" w:eastAsia="Times New Roman" w:hAnsi="Times New Roman" w:cs="Times New Roman"/>
                <w:sz w:val="24"/>
                <w:szCs w:val="24"/>
                <w:lang w:eastAsia="lt-LT"/>
              </w:rPr>
              <w:t>fotosensibilizuotai</w:t>
            </w:r>
            <w:proofErr w:type="spellEnd"/>
            <w:r w:rsidRPr="008D528F">
              <w:rPr>
                <w:rFonts w:ascii="Times New Roman" w:eastAsia="Times New Roman" w:hAnsi="Times New Roman" w:cs="Times New Roman"/>
                <w:sz w:val="24"/>
                <w:szCs w:val="24"/>
                <w:lang w:eastAsia="lt-LT"/>
              </w:rPr>
              <w:t xml:space="preserve"> navikų terapijai naudojamų endogeninių sensibilizatorių pirmtakų (kaip ALA ir ALA metilo esterio) bei kitų medžiagų darančių įtaką endogeninio sensibilizatoriaus </w:t>
            </w:r>
            <w:proofErr w:type="spellStart"/>
            <w:r w:rsidRPr="008D528F">
              <w:rPr>
                <w:rFonts w:ascii="Times New Roman" w:eastAsia="Times New Roman" w:hAnsi="Times New Roman" w:cs="Times New Roman"/>
                <w:sz w:val="24"/>
                <w:szCs w:val="24"/>
                <w:lang w:eastAsia="lt-LT"/>
              </w:rPr>
              <w:t>PpIX</w:t>
            </w:r>
            <w:proofErr w:type="spellEnd"/>
            <w:r w:rsidRPr="008D528F">
              <w:rPr>
                <w:rFonts w:ascii="Times New Roman" w:eastAsia="Times New Roman" w:hAnsi="Times New Roman" w:cs="Times New Roman"/>
                <w:sz w:val="24"/>
                <w:szCs w:val="24"/>
                <w:lang w:eastAsia="lt-LT"/>
              </w:rPr>
              <w:t xml:space="preserve"> kaupimuisi ir </w:t>
            </w:r>
            <w:proofErr w:type="spellStart"/>
            <w:r w:rsidRPr="008D528F">
              <w:rPr>
                <w:rFonts w:ascii="Times New Roman" w:eastAsia="Times New Roman" w:hAnsi="Times New Roman" w:cs="Times New Roman"/>
                <w:sz w:val="24"/>
                <w:szCs w:val="24"/>
                <w:lang w:eastAsia="lt-LT"/>
              </w:rPr>
              <w:t>selektyvumui</w:t>
            </w:r>
            <w:proofErr w:type="spellEnd"/>
            <w:r w:rsidRPr="008D528F">
              <w:rPr>
                <w:rFonts w:ascii="Times New Roman" w:eastAsia="Times New Roman" w:hAnsi="Times New Roman" w:cs="Times New Roman"/>
                <w:sz w:val="24"/>
                <w:szCs w:val="24"/>
                <w:lang w:eastAsia="lt-LT"/>
              </w:rPr>
              <w:t xml:space="preserve"> vėžinėse ląstelėse sąveiką; įvertinti foto-pažaidas </w:t>
            </w:r>
            <w:proofErr w:type="spellStart"/>
            <w:r w:rsidRPr="008D528F">
              <w:rPr>
                <w:rFonts w:ascii="Times New Roman" w:eastAsia="Times New Roman" w:hAnsi="Times New Roman" w:cs="Times New Roman"/>
                <w:sz w:val="24"/>
                <w:szCs w:val="24"/>
                <w:lang w:eastAsia="lt-LT"/>
              </w:rPr>
              <w:t>nuostovios</w:t>
            </w:r>
            <w:proofErr w:type="spellEnd"/>
            <w:r w:rsidRPr="008D528F">
              <w:rPr>
                <w:rFonts w:ascii="Times New Roman" w:eastAsia="Times New Roman" w:hAnsi="Times New Roman" w:cs="Times New Roman"/>
                <w:sz w:val="24"/>
                <w:szCs w:val="24"/>
                <w:lang w:eastAsia="lt-LT"/>
              </w:rPr>
              <w:t xml:space="preserve"> ir kinetinės spektroskopijos bei </w:t>
            </w:r>
            <w:proofErr w:type="spellStart"/>
            <w:r w:rsidRPr="008D528F">
              <w:rPr>
                <w:rFonts w:ascii="Times New Roman" w:eastAsia="Times New Roman" w:hAnsi="Times New Roman" w:cs="Times New Roman"/>
                <w:sz w:val="24"/>
                <w:szCs w:val="24"/>
                <w:lang w:eastAsia="lt-LT"/>
              </w:rPr>
              <w:t>fluorescencinės</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konfokalinės</w:t>
            </w:r>
            <w:proofErr w:type="spellEnd"/>
            <w:r w:rsidRPr="008D528F">
              <w:rPr>
                <w:rFonts w:ascii="Times New Roman" w:eastAsia="Times New Roman" w:hAnsi="Times New Roman" w:cs="Times New Roman"/>
                <w:sz w:val="24"/>
                <w:szCs w:val="24"/>
                <w:lang w:eastAsia="lt-LT"/>
              </w:rPr>
              <w:t xml:space="preserve"> intensyvumo ir laikinės skyros mikroskopijos metodais </w:t>
            </w:r>
            <w:proofErr w:type="spellStart"/>
            <w:r w:rsidRPr="008D528F">
              <w:rPr>
                <w:rFonts w:ascii="Times New Roman" w:eastAsia="Times New Roman" w:hAnsi="Times New Roman" w:cs="Times New Roman"/>
                <w:i/>
                <w:sz w:val="24"/>
                <w:szCs w:val="24"/>
                <w:lang w:eastAsia="lt-LT"/>
              </w:rPr>
              <w:t>in</w:t>
            </w:r>
            <w:proofErr w:type="spellEnd"/>
            <w:r w:rsidRPr="008D528F">
              <w:rPr>
                <w:rFonts w:ascii="Times New Roman" w:eastAsia="Times New Roman" w:hAnsi="Times New Roman" w:cs="Times New Roman"/>
                <w:i/>
                <w:sz w:val="24"/>
                <w:szCs w:val="24"/>
                <w:lang w:eastAsia="lt-LT"/>
              </w:rPr>
              <w:t xml:space="preserve"> </w:t>
            </w:r>
            <w:proofErr w:type="spellStart"/>
            <w:r w:rsidRPr="008D528F">
              <w:rPr>
                <w:rFonts w:ascii="Times New Roman" w:eastAsia="Times New Roman" w:hAnsi="Times New Roman" w:cs="Times New Roman"/>
                <w:i/>
                <w:sz w:val="24"/>
                <w:szCs w:val="24"/>
                <w:lang w:eastAsia="lt-LT"/>
              </w:rPr>
              <w:t>vitro</w:t>
            </w:r>
            <w:proofErr w:type="spellEnd"/>
            <w:r w:rsidRPr="008D528F">
              <w:rPr>
                <w:rFonts w:ascii="Times New Roman" w:eastAsia="Times New Roman" w:hAnsi="Times New Roman" w:cs="Times New Roman"/>
                <w:sz w:val="24"/>
                <w:szCs w:val="24"/>
                <w:lang w:eastAsia="lt-LT"/>
              </w:rPr>
              <w:t xml:space="preserve">; atlikti </w:t>
            </w:r>
            <w:proofErr w:type="spellStart"/>
            <w:r w:rsidRPr="008D528F">
              <w:rPr>
                <w:rFonts w:ascii="Times New Roman" w:eastAsia="Times New Roman" w:hAnsi="Times New Roman" w:cs="Times New Roman"/>
                <w:sz w:val="24"/>
                <w:szCs w:val="24"/>
                <w:lang w:eastAsia="lt-LT"/>
              </w:rPr>
              <w:t>fotosensibilizacijos</w:t>
            </w:r>
            <w:proofErr w:type="spellEnd"/>
            <w:r w:rsidRPr="008D528F">
              <w:rPr>
                <w:rFonts w:ascii="Times New Roman" w:eastAsia="Times New Roman" w:hAnsi="Times New Roman" w:cs="Times New Roman"/>
                <w:sz w:val="24"/>
                <w:szCs w:val="24"/>
                <w:lang w:eastAsia="lt-LT"/>
              </w:rPr>
              <w:t xml:space="preserve"> tyrimus </w:t>
            </w:r>
            <w:proofErr w:type="spellStart"/>
            <w:r w:rsidRPr="008D528F">
              <w:rPr>
                <w:rFonts w:ascii="Times New Roman" w:eastAsia="Times New Roman" w:hAnsi="Times New Roman" w:cs="Times New Roman"/>
                <w:i/>
                <w:sz w:val="24"/>
                <w:szCs w:val="24"/>
                <w:lang w:eastAsia="lt-LT"/>
              </w:rPr>
              <w:t>in</w:t>
            </w:r>
            <w:proofErr w:type="spellEnd"/>
            <w:r w:rsidRPr="008D528F">
              <w:rPr>
                <w:rFonts w:ascii="Times New Roman" w:eastAsia="Times New Roman" w:hAnsi="Times New Roman" w:cs="Times New Roman"/>
                <w:i/>
                <w:sz w:val="24"/>
                <w:szCs w:val="24"/>
                <w:lang w:eastAsia="lt-LT"/>
              </w:rPr>
              <w:t xml:space="preserve"> </w:t>
            </w:r>
            <w:proofErr w:type="spellStart"/>
            <w:r w:rsidRPr="008D528F">
              <w:rPr>
                <w:rFonts w:ascii="Times New Roman" w:eastAsia="Times New Roman" w:hAnsi="Times New Roman" w:cs="Times New Roman"/>
                <w:i/>
                <w:sz w:val="24"/>
                <w:szCs w:val="24"/>
                <w:lang w:eastAsia="lt-LT"/>
              </w:rPr>
              <w:t>vivo</w:t>
            </w:r>
            <w:proofErr w:type="spellEnd"/>
            <w:r w:rsidRPr="008D528F">
              <w:rPr>
                <w:rFonts w:ascii="Times New Roman" w:eastAsia="Times New Roman" w:hAnsi="Times New Roman" w:cs="Times New Roman"/>
                <w:sz w:val="24"/>
                <w:szCs w:val="24"/>
                <w:lang w:eastAsia="lt-LT"/>
              </w:rPr>
              <w:t xml:space="preserve"> naudojant optinės biopsijos metodikas ir ištirti </w:t>
            </w:r>
            <w:proofErr w:type="spellStart"/>
            <w:r w:rsidRPr="008D528F">
              <w:rPr>
                <w:rFonts w:ascii="Times New Roman" w:eastAsia="Times New Roman" w:hAnsi="Times New Roman" w:cs="Times New Roman"/>
                <w:sz w:val="24"/>
                <w:szCs w:val="24"/>
                <w:lang w:eastAsia="lt-LT"/>
              </w:rPr>
              <w:t>sensibilizuotus</w:t>
            </w:r>
            <w:proofErr w:type="spellEnd"/>
            <w:r w:rsidRPr="008D528F">
              <w:rPr>
                <w:rFonts w:ascii="Times New Roman" w:eastAsia="Times New Roman" w:hAnsi="Times New Roman" w:cs="Times New Roman"/>
                <w:sz w:val="24"/>
                <w:szCs w:val="24"/>
                <w:lang w:eastAsia="lt-LT"/>
              </w:rPr>
              <w:t xml:space="preserve"> audinius </w:t>
            </w:r>
            <w:proofErr w:type="spellStart"/>
            <w:r w:rsidRPr="008D528F">
              <w:rPr>
                <w:rFonts w:ascii="Times New Roman" w:eastAsia="Times New Roman" w:hAnsi="Times New Roman" w:cs="Times New Roman"/>
                <w:i/>
                <w:sz w:val="24"/>
                <w:szCs w:val="24"/>
                <w:lang w:eastAsia="lt-LT"/>
              </w:rPr>
              <w:t>ex</w:t>
            </w:r>
            <w:proofErr w:type="spellEnd"/>
            <w:r w:rsidRPr="008D528F">
              <w:rPr>
                <w:rFonts w:ascii="Times New Roman" w:eastAsia="Times New Roman" w:hAnsi="Times New Roman" w:cs="Times New Roman"/>
                <w:i/>
                <w:sz w:val="24"/>
                <w:szCs w:val="24"/>
                <w:lang w:eastAsia="lt-LT"/>
              </w:rPr>
              <w:t xml:space="preserve"> </w:t>
            </w:r>
            <w:proofErr w:type="spellStart"/>
            <w:r w:rsidRPr="008D528F">
              <w:rPr>
                <w:rFonts w:ascii="Times New Roman" w:eastAsia="Times New Roman" w:hAnsi="Times New Roman" w:cs="Times New Roman"/>
                <w:i/>
                <w:sz w:val="24"/>
                <w:szCs w:val="24"/>
                <w:lang w:eastAsia="lt-LT"/>
              </w:rPr>
              <w:t>vivo</w:t>
            </w:r>
            <w:proofErr w:type="spellEnd"/>
            <w:r w:rsidRPr="008D528F">
              <w:rPr>
                <w:rFonts w:ascii="Times New Roman" w:eastAsia="Times New Roman" w:hAnsi="Times New Roman" w:cs="Times New Roman"/>
                <w:sz w:val="24"/>
                <w:szCs w:val="24"/>
                <w:lang w:eastAsia="lt-LT"/>
              </w:rPr>
              <w:t>.</w:t>
            </w:r>
          </w:p>
          <w:p w14:paraId="7329640B"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Calibri" w:eastAsia="Times New Roman" w:hAnsi="Calibri" w:cs="Times New Roman"/>
                <w:lang w:eastAsia="lt-LT"/>
              </w:rPr>
              <w:lastRenderedPageBreak/>
              <w:t xml:space="preserve">    </w:t>
            </w:r>
            <w:r w:rsidRPr="008D528F">
              <w:rPr>
                <w:rFonts w:ascii="Times New Roman" w:eastAsia="Times New Roman" w:hAnsi="Times New Roman" w:cs="Times New Roman"/>
                <w:sz w:val="24"/>
                <w:szCs w:val="24"/>
                <w:lang w:eastAsia="lt-LT"/>
              </w:rPr>
              <w:t xml:space="preserve">5.2. </w:t>
            </w:r>
            <w:proofErr w:type="spellStart"/>
            <w:r w:rsidRPr="008D528F">
              <w:rPr>
                <w:rFonts w:ascii="Times New Roman" w:eastAsia="Times New Roman" w:hAnsi="Times New Roman" w:cs="Times New Roman"/>
                <w:sz w:val="24"/>
                <w:szCs w:val="24"/>
                <w:lang w:eastAsia="lt-LT"/>
              </w:rPr>
              <w:t>Inovatyvių</w:t>
            </w:r>
            <w:proofErr w:type="spellEnd"/>
            <w:r w:rsidRPr="008D528F">
              <w:rPr>
                <w:rFonts w:ascii="Times New Roman" w:eastAsia="Times New Roman" w:hAnsi="Times New Roman" w:cs="Times New Roman"/>
                <w:sz w:val="24"/>
                <w:szCs w:val="24"/>
                <w:lang w:eastAsia="lt-LT"/>
              </w:rPr>
              <w:t xml:space="preserve"> kontrastinių preparatų kūrimas ir taikymas vėžio diagnostikai. </w:t>
            </w:r>
          </w:p>
          <w:p w14:paraId="7329640C"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Šiuo metu esamų didelės skvarbos tyrimo metodų erdvinė skyra nėra pakankama pavienių ląstelių ar net nedidelių jų sankaupų ligos židinyje aptikimui, todėl naudojant </w:t>
            </w:r>
            <w:proofErr w:type="spellStart"/>
            <w:r w:rsidRPr="008D528F">
              <w:rPr>
                <w:rFonts w:ascii="Times New Roman" w:eastAsia="Times New Roman" w:hAnsi="Times New Roman" w:cs="Times New Roman"/>
                <w:sz w:val="24"/>
                <w:szCs w:val="24"/>
                <w:lang w:eastAsia="lt-LT"/>
              </w:rPr>
              <w:t>daugiamodžio</w:t>
            </w:r>
            <w:proofErr w:type="spellEnd"/>
            <w:r w:rsidRPr="008D528F">
              <w:rPr>
                <w:rFonts w:ascii="Times New Roman" w:eastAsia="Times New Roman" w:hAnsi="Times New Roman" w:cs="Times New Roman"/>
                <w:sz w:val="24"/>
                <w:szCs w:val="24"/>
                <w:lang w:eastAsia="lt-LT"/>
              </w:rPr>
              <w:t xml:space="preserve"> vaizdinimo </w:t>
            </w:r>
            <w:proofErr w:type="spellStart"/>
            <w:r w:rsidRPr="008D528F">
              <w:rPr>
                <w:rFonts w:ascii="Times New Roman" w:eastAsia="Times New Roman" w:hAnsi="Times New Roman" w:cs="Times New Roman"/>
                <w:sz w:val="24"/>
                <w:szCs w:val="24"/>
                <w:lang w:eastAsia="lt-LT"/>
              </w:rPr>
              <w:t>nanodaleles</w:t>
            </w:r>
            <w:proofErr w:type="spellEnd"/>
            <w:r w:rsidRPr="008D528F">
              <w:rPr>
                <w:rFonts w:ascii="Times New Roman" w:eastAsia="Times New Roman" w:hAnsi="Times New Roman" w:cs="Times New Roman"/>
                <w:sz w:val="24"/>
                <w:szCs w:val="24"/>
                <w:lang w:eastAsia="lt-LT"/>
              </w:rPr>
              <w:t xml:space="preserve"> bus galimas kelių lygmenų vaizdinimas – naviko aptikimas viso organizmo lygmenyje ir jo tikslus lokalizavimas organo ar audinių ribose. Kontrastiniai preparatai, susintetinti </w:t>
            </w:r>
            <w:proofErr w:type="spellStart"/>
            <w:r w:rsidRPr="008D528F">
              <w:rPr>
                <w:rFonts w:ascii="Times New Roman" w:eastAsia="Times New Roman" w:hAnsi="Times New Roman" w:cs="Times New Roman"/>
                <w:sz w:val="24"/>
                <w:szCs w:val="24"/>
                <w:lang w:eastAsia="lt-LT"/>
              </w:rPr>
              <w:t>Au</w:t>
            </w:r>
            <w:proofErr w:type="spellEnd"/>
            <w:r w:rsidRPr="008D528F">
              <w:rPr>
                <w:rFonts w:ascii="Times New Roman" w:eastAsia="Times New Roman" w:hAnsi="Times New Roman" w:cs="Times New Roman"/>
                <w:sz w:val="24"/>
                <w:szCs w:val="24"/>
                <w:lang w:eastAsia="lt-LT"/>
              </w:rPr>
              <w:t xml:space="preserve"> pagrindu, gali būti vaizdinami Rentgeno bei optiniais metodais. Analogiškai </w:t>
            </w:r>
            <w:proofErr w:type="spellStart"/>
            <w:r w:rsidRPr="008D528F">
              <w:rPr>
                <w:rFonts w:ascii="Times New Roman" w:eastAsia="Times New Roman" w:hAnsi="Times New Roman" w:cs="Times New Roman"/>
                <w:sz w:val="24"/>
                <w:szCs w:val="24"/>
                <w:lang w:eastAsia="lt-LT"/>
              </w:rPr>
              <w:t>Au</w:t>
            </w:r>
            <w:proofErr w:type="spellEnd"/>
            <w:r w:rsidRPr="008D528F">
              <w:rPr>
                <w:rFonts w:ascii="Times New Roman" w:eastAsia="Times New Roman" w:hAnsi="Times New Roman" w:cs="Times New Roman"/>
                <w:sz w:val="24"/>
                <w:szCs w:val="24"/>
                <w:lang w:eastAsia="lt-LT"/>
              </w:rPr>
              <w:t xml:space="preserve"> dalelėms, bus konstruojamos </w:t>
            </w:r>
            <w:proofErr w:type="spellStart"/>
            <w:r w:rsidRPr="008D528F">
              <w:rPr>
                <w:rFonts w:ascii="Times New Roman" w:eastAsia="Times New Roman" w:hAnsi="Times New Roman" w:cs="Times New Roman"/>
                <w:sz w:val="24"/>
                <w:szCs w:val="24"/>
                <w:lang w:eastAsia="lt-LT"/>
              </w:rPr>
              <w:t>daugiamodės</w:t>
            </w:r>
            <w:proofErr w:type="spellEnd"/>
            <w:r w:rsidRPr="008D528F">
              <w:rPr>
                <w:rFonts w:ascii="Times New Roman" w:eastAsia="Times New Roman" w:hAnsi="Times New Roman" w:cs="Times New Roman"/>
                <w:sz w:val="24"/>
                <w:szCs w:val="24"/>
                <w:lang w:eastAsia="lt-LT"/>
              </w:rPr>
              <w:t xml:space="preserve"> kontrastinės dalelės, suderinant didelį įsiskverbimo gylį užtikrinančius magnetinio rezonanso bei ultragarso ir dideliu tikslumu pasižyminčius optinio vaizdinimo metodus. </w:t>
            </w:r>
            <w:proofErr w:type="spellStart"/>
            <w:r w:rsidRPr="008D528F">
              <w:rPr>
                <w:rFonts w:ascii="Times New Roman" w:eastAsia="Times New Roman" w:hAnsi="Times New Roman" w:cs="Times New Roman"/>
                <w:sz w:val="24"/>
                <w:szCs w:val="24"/>
                <w:lang w:eastAsia="lt-LT"/>
              </w:rPr>
              <w:t>Inovatyvių</w:t>
            </w:r>
            <w:proofErr w:type="spellEnd"/>
            <w:r w:rsidRPr="008D528F">
              <w:rPr>
                <w:rFonts w:ascii="Times New Roman" w:eastAsia="Times New Roman" w:hAnsi="Times New Roman" w:cs="Times New Roman"/>
                <w:sz w:val="24"/>
                <w:szCs w:val="24"/>
                <w:lang w:eastAsia="lt-LT"/>
              </w:rPr>
              <w:t xml:space="preserve"> kontrastinių preparatų panaudojimas vaizdinimui apima ir klinikoje patvirtintų vaizdų formavimo ir registravimo protokolų adaptavimą, vaizdų gavimo metodikų optimizavimą bei apdorojimo algoritmų sukūrimą ir jų pritaikymą sukurtiems </w:t>
            </w:r>
            <w:proofErr w:type="spellStart"/>
            <w:r w:rsidRPr="008D528F">
              <w:rPr>
                <w:rFonts w:ascii="Times New Roman" w:eastAsia="Times New Roman" w:hAnsi="Times New Roman" w:cs="Times New Roman"/>
                <w:sz w:val="24"/>
                <w:szCs w:val="24"/>
                <w:lang w:eastAsia="lt-LT"/>
              </w:rPr>
              <w:t>daugiamodžio</w:t>
            </w:r>
            <w:proofErr w:type="spellEnd"/>
            <w:r w:rsidRPr="008D528F">
              <w:rPr>
                <w:rFonts w:ascii="Times New Roman" w:eastAsia="Times New Roman" w:hAnsi="Times New Roman" w:cs="Times New Roman"/>
                <w:sz w:val="24"/>
                <w:szCs w:val="24"/>
                <w:lang w:eastAsia="lt-LT"/>
              </w:rPr>
              <w:t xml:space="preserve"> vaizdinimo </w:t>
            </w:r>
            <w:proofErr w:type="spellStart"/>
            <w:r w:rsidRPr="008D528F">
              <w:rPr>
                <w:rFonts w:ascii="Times New Roman" w:eastAsia="Times New Roman" w:hAnsi="Times New Roman" w:cs="Times New Roman"/>
                <w:sz w:val="24"/>
                <w:szCs w:val="24"/>
                <w:lang w:eastAsia="lt-LT"/>
              </w:rPr>
              <w:t>nanodariniams</w:t>
            </w:r>
            <w:proofErr w:type="spellEnd"/>
            <w:r w:rsidRPr="008D528F">
              <w:rPr>
                <w:rFonts w:ascii="Times New Roman" w:eastAsia="Times New Roman" w:hAnsi="Times New Roman" w:cs="Times New Roman"/>
                <w:sz w:val="24"/>
                <w:szCs w:val="24"/>
                <w:lang w:eastAsia="lt-LT"/>
              </w:rPr>
              <w:t xml:space="preserve"> ir </w:t>
            </w:r>
            <w:proofErr w:type="spellStart"/>
            <w:r w:rsidRPr="008D528F">
              <w:rPr>
                <w:rFonts w:ascii="Times New Roman" w:eastAsia="Times New Roman" w:hAnsi="Times New Roman" w:cs="Times New Roman"/>
                <w:sz w:val="24"/>
                <w:szCs w:val="24"/>
                <w:lang w:eastAsia="lt-LT"/>
              </w:rPr>
              <w:t>teranostinėms</w:t>
            </w:r>
            <w:proofErr w:type="spellEnd"/>
            <w:r w:rsidRPr="008D528F">
              <w:rPr>
                <w:rFonts w:ascii="Times New Roman" w:eastAsia="Times New Roman" w:hAnsi="Times New Roman" w:cs="Times New Roman"/>
                <w:sz w:val="24"/>
                <w:szCs w:val="24"/>
                <w:lang w:eastAsia="lt-LT"/>
              </w:rPr>
              <w:t xml:space="preserve"> platformoms testuojant </w:t>
            </w:r>
            <w:proofErr w:type="spellStart"/>
            <w:r w:rsidRPr="008D528F">
              <w:rPr>
                <w:rFonts w:ascii="Times New Roman" w:eastAsia="Times New Roman" w:hAnsi="Times New Roman" w:cs="Times New Roman"/>
                <w:i/>
                <w:sz w:val="24"/>
                <w:szCs w:val="24"/>
                <w:lang w:eastAsia="lt-LT"/>
              </w:rPr>
              <w:t>in</w:t>
            </w:r>
            <w:proofErr w:type="spellEnd"/>
            <w:r w:rsidRPr="008D528F">
              <w:rPr>
                <w:rFonts w:ascii="Times New Roman" w:eastAsia="Times New Roman" w:hAnsi="Times New Roman" w:cs="Times New Roman"/>
                <w:i/>
                <w:sz w:val="24"/>
                <w:szCs w:val="24"/>
                <w:lang w:eastAsia="lt-LT"/>
              </w:rPr>
              <w:t xml:space="preserve"> </w:t>
            </w:r>
            <w:proofErr w:type="spellStart"/>
            <w:r w:rsidRPr="008D528F">
              <w:rPr>
                <w:rFonts w:ascii="Times New Roman" w:eastAsia="Times New Roman" w:hAnsi="Times New Roman" w:cs="Times New Roman"/>
                <w:i/>
                <w:sz w:val="24"/>
                <w:szCs w:val="24"/>
                <w:lang w:eastAsia="lt-LT"/>
              </w:rPr>
              <w:t>vivo</w:t>
            </w:r>
            <w:proofErr w:type="spellEnd"/>
            <w:r w:rsidRPr="008D528F">
              <w:rPr>
                <w:rFonts w:ascii="Times New Roman" w:eastAsia="Times New Roman" w:hAnsi="Times New Roman" w:cs="Times New Roman"/>
                <w:i/>
                <w:sz w:val="24"/>
                <w:szCs w:val="24"/>
                <w:lang w:eastAsia="lt-LT"/>
              </w:rPr>
              <w:t xml:space="preserve"> </w:t>
            </w:r>
            <w:r w:rsidRPr="008D528F">
              <w:rPr>
                <w:rFonts w:ascii="Times New Roman" w:eastAsia="Times New Roman" w:hAnsi="Times New Roman" w:cs="Times New Roman"/>
                <w:sz w:val="24"/>
                <w:szCs w:val="24"/>
                <w:lang w:eastAsia="lt-LT"/>
              </w:rPr>
              <w:t xml:space="preserve">sąlygomis. Vykdant šią priemonę numatoma: įvertinti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įtaką jonizuojančios spinduliuotės kuriamai dozei; įvertinti </w:t>
            </w:r>
            <w:proofErr w:type="spellStart"/>
            <w:r w:rsidRPr="008D528F">
              <w:rPr>
                <w:rFonts w:ascii="Times New Roman" w:eastAsia="Times New Roman" w:hAnsi="Times New Roman" w:cs="Times New Roman"/>
                <w:sz w:val="24"/>
                <w:szCs w:val="24"/>
                <w:lang w:eastAsia="lt-LT"/>
              </w:rPr>
              <w:t>nanodalelių</w:t>
            </w:r>
            <w:proofErr w:type="spellEnd"/>
            <w:r w:rsidRPr="008D528F">
              <w:rPr>
                <w:rFonts w:ascii="Times New Roman" w:eastAsia="Times New Roman" w:hAnsi="Times New Roman" w:cs="Times New Roman"/>
                <w:sz w:val="24"/>
                <w:szCs w:val="24"/>
                <w:lang w:eastAsia="lt-LT"/>
              </w:rPr>
              <w:t xml:space="preserve"> atsparumą rentgeno spinduliuotei; nustatyti optimalias </w:t>
            </w:r>
            <w:proofErr w:type="spellStart"/>
            <w:r w:rsidRPr="008D528F">
              <w:rPr>
                <w:rFonts w:ascii="Times New Roman" w:eastAsia="Times New Roman" w:hAnsi="Times New Roman" w:cs="Times New Roman"/>
                <w:sz w:val="24"/>
                <w:szCs w:val="24"/>
                <w:lang w:eastAsia="lt-LT"/>
              </w:rPr>
              <w:t>nano-medžiagų</w:t>
            </w:r>
            <w:proofErr w:type="spellEnd"/>
            <w:r w:rsidRPr="008D528F">
              <w:rPr>
                <w:rFonts w:ascii="Times New Roman" w:eastAsia="Times New Roman" w:hAnsi="Times New Roman" w:cs="Times New Roman"/>
                <w:sz w:val="24"/>
                <w:szCs w:val="24"/>
                <w:lang w:eastAsia="lt-LT"/>
              </w:rPr>
              <w:t xml:space="preserve"> koncentracijas ir palyginti jas su šiandien klinikoje naudojamomis kontrastinėmis medžiagomis.</w:t>
            </w:r>
          </w:p>
          <w:p w14:paraId="7329640D"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    5.3. Molekulinių vėžio diagnostikos sistemų kūrimas.</w:t>
            </w:r>
          </w:p>
          <w:p w14:paraId="7329640E"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Įgyvendinant šią priemonę, naujos kartos </w:t>
            </w:r>
            <w:proofErr w:type="spellStart"/>
            <w:r w:rsidRPr="008D528F">
              <w:rPr>
                <w:rFonts w:ascii="Times New Roman" w:eastAsia="Times New Roman" w:hAnsi="Times New Roman" w:cs="Times New Roman"/>
                <w:sz w:val="24"/>
                <w:szCs w:val="24"/>
                <w:lang w:eastAsia="lt-LT"/>
              </w:rPr>
              <w:t>sekoskaitos</w:t>
            </w:r>
            <w:proofErr w:type="spellEnd"/>
            <w:r w:rsidRPr="008D528F">
              <w:rPr>
                <w:rFonts w:ascii="Times New Roman" w:eastAsia="Times New Roman" w:hAnsi="Times New Roman" w:cs="Times New Roman"/>
                <w:sz w:val="24"/>
                <w:szCs w:val="24"/>
                <w:lang w:eastAsia="lt-LT"/>
              </w:rPr>
              <w:t xml:space="preserve"> pagalba nustatysime </w:t>
            </w:r>
            <w:proofErr w:type="spellStart"/>
            <w:r w:rsidRPr="008D528F">
              <w:rPr>
                <w:rFonts w:ascii="Times New Roman" w:eastAsia="Times New Roman" w:hAnsi="Times New Roman" w:cs="Times New Roman"/>
                <w:sz w:val="24"/>
                <w:szCs w:val="24"/>
                <w:lang w:eastAsia="lt-LT"/>
              </w:rPr>
              <w:t>miRNR</w:t>
            </w:r>
            <w:proofErr w:type="spellEnd"/>
            <w:r w:rsidRPr="008D528F">
              <w:rPr>
                <w:rFonts w:ascii="Times New Roman" w:eastAsia="Times New Roman" w:hAnsi="Times New Roman" w:cs="Times New Roman"/>
                <w:sz w:val="24"/>
                <w:szCs w:val="24"/>
                <w:lang w:eastAsia="lt-LT"/>
              </w:rPr>
              <w:t xml:space="preserve"> raiškos profilius skydliaukės folikulinės </w:t>
            </w:r>
            <w:proofErr w:type="spellStart"/>
            <w:r w:rsidRPr="008D528F">
              <w:rPr>
                <w:rFonts w:ascii="Times New Roman" w:eastAsia="Times New Roman" w:hAnsi="Times New Roman" w:cs="Times New Roman"/>
                <w:sz w:val="24"/>
                <w:szCs w:val="24"/>
                <w:lang w:eastAsia="lt-LT"/>
              </w:rPr>
              <w:t>karcinomos</w:t>
            </w:r>
            <w:proofErr w:type="spellEnd"/>
            <w:r w:rsidRPr="008D528F">
              <w:rPr>
                <w:rFonts w:ascii="Times New Roman" w:eastAsia="Times New Roman" w:hAnsi="Times New Roman" w:cs="Times New Roman"/>
                <w:sz w:val="24"/>
                <w:szCs w:val="24"/>
                <w:lang w:eastAsia="lt-LT"/>
              </w:rPr>
              <w:t xml:space="preserve"> ir nepiktybinių skydliaukės folikulinių </w:t>
            </w:r>
            <w:proofErr w:type="spellStart"/>
            <w:r w:rsidRPr="008D528F">
              <w:rPr>
                <w:rFonts w:ascii="Times New Roman" w:eastAsia="Times New Roman" w:hAnsi="Times New Roman" w:cs="Times New Roman"/>
                <w:sz w:val="24"/>
                <w:szCs w:val="24"/>
                <w:lang w:eastAsia="lt-LT"/>
              </w:rPr>
              <w:t>neoplazijų</w:t>
            </w:r>
            <w:proofErr w:type="spellEnd"/>
            <w:r w:rsidRPr="008D528F">
              <w:rPr>
                <w:rFonts w:ascii="Times New Roman" w:eastAsia="Times New Roman" w:hAnsi="Times New Roman" w:cs="Times New Roman"/>
                <w:sz w:val="24"/>
                <w:szCs w:val="24"/>
                <w:lang w:eastAsia="lt-LT"/>
              </w:rPr>
              <w:t xml:space="preserve"> ląstelėse, naudojant histologinius mėginius. Didžiausiais raiškos skirtumais pasižyminčias </w:t>
            </w:r>
            <w:proofErr w:type="spellStart"/>
            <w:r w:rsidRPr="008D528F">
              <w:rPr>
                <w:rFonts w:ascii="Times New Roman" w:eastAsia="Times New Roman" w:hAnsi="Times New Roman" w:cs="Times New Roman"/>
                <w:sz w:val="24"/>
                <w:szCs w:val="24"/>
                <w:lang w:eastAsia="lt-LT"/>
              </w:rPr>
              <w:t>miRNR</w:t>
            </w:r>
            <w:proofErr w:type="spellEnd"/>
            <w:r w:rsidRPr="008D528F">
              <w:rPr>
                <w:rFonts w:ascii="Times New Roman" w:eastAsia="Times New Roman" w:hAnsi="Times New Roman" w:cs="Times New Roman"/>
                <w:sz w:val="24"/>
                <w:szCs w:val="24"/>
                <w:lang w:eastAsia="lt-LT"/>
              </w:rPr>
              <w:t xml:space="preserve"> atrinksime patvirtinimo tyrimams, naudodami pacientų skydliaukės </w:t>
            </w:r>
            <w:proofErr w:type="spellStart"/>
            <w:r w:rsidRPr="008D528F">
              <w:rPr>
                <w:rFonts w:ascii="Times New Roman" w:eastAsia="Times New Roman" w:hAnsi="Times New Roman" w:cs="Times New Roman"/>
                <w:sz w:val="24"/>
                <w:szCs w:val="24"/>
                <w:lang w:eastAsia="lt-LT"/>
              </w:rPr>
              <w:t>aspiracinių</w:t>
            </w:r>
            <w:proofErr w:type="spellEnd"/>
            <w:r w:rsidRPr="008D528F">
              <w:rPr>
                <w:rFonts w:ascii="Times New Roman" w:eastAsia="Times New Roman" w:hAnsi="Times New Roman" w:cs="Times New Roman"/>
                <w:sz w:val="24"/>
                <w:szCs w:val="24"/>
                <w:lang w:eastAsia="lt-LT"/>
              </w:rPr>
              <w:t xml:space="preserve"> biopsijų mėginius ir kraujo mėginius. Šiuose mėginiuose patvirtintos </w:t>
            </w:r>
            <w:proofErr w:type="spellStart"/>
            <w:r w:rsidRPr="008D528F">
              <w:rPr>
                <w:rFonts w:ascii="Times New Roman" w:eastAsia="Times New Roman" w:hAnsi="Times New Roman" w:cs="Times New Roman"/>
                <w:sz w:val="24"/>
                <w:szCs w:val="24"/>
                <w:lang w:eastAsia="lt-LT"/>
              </w:rPr>
              <w:t>miRNR</w:t>
            </w:r>
            <w:proofErr w:type="spellEnd"/>
            <w:r w:rsidRPr="008D528F">
              <w:rPr>
                <w:rFonts w:ascii="Times New Roman" w:eastAsia="Times New Roman" w:hAnsi="Times New Roman" w:cs="Times New Roman"/>
                <w:sz w:val="24"/>
                <w:szCs w:val="24"/>
                <w:lang w:eastAsia="lt-LT"/>
              </w:rPr>
              <w:t xml:space="preserve"> bus naudojamos neinvazinių folikulinės </w:t>
            </w:r>
            <w:proofErr w:type="spellStart"/>
            <w:r w:rsidRPr="008D528F">
              <w:rPr>
                <w:rFonts w:ascii="Times New Roman" w:eastAsia="Times New Roman" w:hAnsi="Times New Roman" w:cs="Times New Roman"/>
                <w:sz w:val="24"/>
                <w:szCs w:val="24"/>
                <w:lang w:eastAsia="lt-LT"/>
              </w:rPr>
              <w:t>karcinomos</w:t>
            </w:r>
            <w:proofErr w:type="spellEnd"/>
            <w:r w:rsidRPr="008D528F">
              <w:rPr>
                <w:rFonts w:ascii="Times New Roman" w:eastAsia="Times New Roman" w:hAnsi="Times New Roman" w:cs="Times New Roman"/>
                <w:sz w:val="24"/>
                <w:szCs w:val="24"/>
                <w:lang w:eastAsia="lt-LT"/>
              </w:rPr>
              <w:t xml:space="preserve"> diagnostikos protokolų/metodikų kūrimui. Melanomos diagnostikos metodų plėtrai ištirsime E3 </w:t>
            </w:r>
            <w:proofErr w:type="spellStart"/>
            <w:r w:rsidRPr="008D528F">
              <w:rPr>
                <w:rFonts w:ascii="Times New Roman" w:eastAsia="Times New Roman" w:hAnsi="Times New Roman" w:cs="Times New Roman"/>
                <w:sz w:val="24"/>
                <w:szCs w:val="24"/>
                <w:lang w:eastAsia="lt-LT"/>
              </w:rPr>
              <w:t>ubikvitino</w:t>
            </w:r>
            <w:proofErr w:type="spellEnd"/>
            <w:r w:rsidRPr="008D528F">
              <w:rPr>
                <w:rFonts w:ascii="Times New Roman" w:eastAsia="Times New Roman" w:hAnsi="Times New Roman" w:cs="Times New Roman"/>
                <w:sz w:val="24"/>
                <w:szCs w:val="24"/>
                <w:lang w:eastAsia="lt-LT"/>
              </w:rPr>
              <w:t xml:space="preserve"> </w:t>
            </w:r>
            <w:proofErr w:type="spellStart"/>
            <w:r w:rsidRPr="008D528F">
              <w:rPr>
                <w:rFonts w:ascii="Times New Roman" w:eastAsia="Times New Roman" w:hAnsi="Times New Roman" w:cs="Times New Roman"/>
                <w:sz w:val="24"/>
                <w:szCs w:val="24"/>
                <w:lang w:eastAsia="lt-LT"/>
              </w:rPr>
              <w:t>ligazių</w:t>
            </w:r>
            <w:proofErr w:type="spellEnd"/>
            <w:r w:rsidRPr="008D528F">
              <w:rPr>
                <w:rFonts w:ascii="Times New Roman" w:eastAsia="Times New Roman" w:hAnsi="Times New Roman" w:cs="Times New Roman"/>
                <w:sz w:val="24"/>
                <w:szCs w:val="24"/>
                <w:lang w:eastAsia="lt-LT"/>
              </w:rPr>
              <w:t xml:space="preserve"> FBW7 ir MDM2 bei jų substratų raišką </w:t>
            </w:r>
            <w:proofErr w:type="spellStart"/>
            <w:r w:rsidRPr="008D528F">
              <w:rPr>
                <w:rFonts w:ascii="Times New Roman" w:eastAsia="Times New Roman" w:hAnsi="Times New Roman" w:cs="Times New Roman"/>
                <w:sz w:val="24"/>
                <w:szCs w:val="24"/>
                <w:lang w:eastAsia="lt-LT"/>
              </w:rPr>
              <w:t>displastinių</w:t>
            </w:r>
            <w:proofErr w:type="spellEnd"/>
            <w:r w:rsidRPr="008D528F">
              <w:rPr>
                <w:rFonts w:ascii="Times New Roman" w:eastAsia="Times New Roman" w:hAnsi="Times New Roman" w:cs="Times New Roman"/>
                <w:sz w:val="24"/>
                <w:szCs w:val="24"/>
                <w:lang w:eastAsia="lt-LT"/>
              </w:rPr>
              <w:t xml:space="preserve"> apgamų ir melanomos mėginiuose. Prostatos vėžio diagnostikos metodų plėtrai įvertinsime prostatos 3D ultragarsinio vaizdo </w:t>
            </w:r>
            <w:proofErr w:type="spellStart"/>
            <w:r w:rsidRPr="008D528F">
              <w:rPr>
                <w:rFonts w:ascii="Times New Roman" w:eastAsia="Times New Roman" w:hAnsi="Times New Roman" w:cs="Times New Roman"/>
                <w:sz w:val="24"/>
                <w:szCs w:val="24"/>
                <w:lang w:eastAsia="lt-LT"/>
              </w:rPr>
              <w:t>algoritminės</w:t>
            </w:r>
            <w:proofErr w:type="spellEnd"/>
            <w:r w:rsidRPr="008D528F">
              <w:rPr>
                <w:rFonts w:ascii="Times New Roman" w:eastAsia="Times New Roman" w:hAnsi="Times New Roman" w:cs="Times New Roman"/>
                <w:sz w:val="24"/>
                <w:szCs w:val="24"/>
                <w:lang w:eastAsia="lt-LT"/>
              </w:rPr>
              <w:t xml:space="preserve"> analizės sistemos ir prostatos </w:t>
            </w:r>
            <w:proofErr w:type="spellStart"/>
            <w:r w:rsidRPr="008D528F">
              <w:rPr>
                <w:rFonts w:ascii="Times New Roman" w:eastAsia="Times New Roman" w:hAnsi="Times New Roman" w:cs="Times New Roman"/>
                <w:sz w:val="24"/>
                <w:szCs w:val="24"/>
                <w:lang w:eastAsia="lt-LT"/>
              </w:rPr>
              <w:t>daugiaparametrinės</w:t>
            </w:r>
            <w:proofErr w:type="spellEnd"/>
            <w:r w:rsidRPr="008D528F">
              <w:rPr>
                <w:rFonts w:ascii="Times New Roman" w:eastAsia="Times New Roman" w:hAnsi="Times New Roman" w:cs="Times New Roman"/>
                <w:sz w:val="24"/>
                <w:szCs w:val="24"/>
                <w:lang w:eastAsia="lt-LT"/>
              </w:rPr>
              <w:t xml:space="preserve"> magnetinio rezonanso tomografijos (pagal PI-RADS sistemą, skanuojant 1.5T aparatu), naudodami pacientų, kuriems atlikta prostatos </w:t>
            </w:r>
            <w:proofErr w:type="spellStart"/>
            <w:r w:rsidRPr="008D528F">
              <w:rPr>
                <w:rFonts w:ascii="Times New Roman" w:eastAsia="Times New Roman" w:hAnsi="Times New Roman" w:cs="Times New Roman"/>
                <w:sz w:val="24"/>
                <w:szCs w:val="24"/>
                <w:lang w:eastAsia="lt-LT"/>
              </w:rPr>
              <w:t>transrektalinė</w:t>
            </w:r>
            <w:proofErr w:type="spellEnd"/>
            <w:r w:rsidRPr="008D528F">
              <w:rPr>
                <w:rFonts w:ascii="Times New Roman" w:eastAsia="Times New Roman" w:hAnsi="Times New Roman" w:cs="Times New Roman"/>
                <w:sz w:val="24"/>
                <w:szCs w:val="24"/>
                <w:lang w:eastAsia="lt-LT"/>
              </w:rPr>
              <w:t xml:space="preserve"> biopsija diagnozės išvadas. Taip pat įvertinsime specifinio prostatos membranos antigeno (PSMA) susikaupimą prostatos ir gretutiniuose audiniuose pacientams, kuriems diagnozuotas kliniškai reikšmingas arba nereikšmingas prostatos vėžys ir įvertinsime šio molekulinio žymens diagnostinį potencialą. Vadovaudamiesi tyrimų rezultatais parengsime rekomendacijas dėl ištirtų parametrų naudojimo vėžio diagnostikos plėtrai.  </w:t>
            </w:r>
          </w:p>
          <w:p w14:paraId="7329640F"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Programos uždaviniai ir apimtys norminiais etatais bei lėšomis (tūkst. </w:t>
            </w:r>
            <w:proofErr w:type="spellStart"/>
            <w:r w:rsidRPr="008D528F">
              <w:rPr>
                <w:rFonts w:ascii="Times New Roman" w:eastAsia="Times New Roman" w:hAnsi="Times New Roman" w:cs="Times New Roman"/>
                <w:sz w:val="24"/>
                <w:szCs w:val="24"/>
                <w:lang w:eastAsia="lt-LT"/>
              </w:rPr>
              <w:t>Eur</w:t>
            </w:r>
            <w:proofErr w:type="spellEnd"/>
            <w:r w:rsidRPr="008D528F">
              <w:rPr>
                <w:rFonts w:ascii="Times New Roman" w:eastAsia="Times New Roman" w:hAnsi="Times New Roman" w:cs="Times New Roman"/>
                <w:sz w:val="24"/>
                <w:szCs w:val="24"/>
                <w:lang w:eastAsia="lt-LT"/>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003"/>
              <w:gridCol w:w="1131"/>
              <w:gridCol w:w="1133"/>
              <w:gridCol w:w="1003"/>
              <w:gridCol w:w="1133"/>
              <w:gridCol w:w="992"/>
            </w:tblGrid>
            <w:tr w:rsidR="008D528F" w:rsidRPr="008D528F" w14:paraId="73296417" w14:textId="77777777" w:rsidTr="00444D77">
              <w:tc>
                <w:tcPr>
                  <w:tcW w:w="3127" w:type="dxa"/>
                  <w:shd w:val="clear" w:color="auto" w:fill="auto"/>
                </w:tcPr>
                <w:p w14:paraId="73296410" w14:textId="77777777" w:rsidR="008D528F" w:rsidRPr="008D528F" w:rsidRDefault="008D528F" w:rsidP="008D528F">
                  <w:pPr>
                    <w:spacing w:after="0" w:line="240" w:lineRule="auto"/>
                    <w:jc w:val="both"/>
                    <w:rPr>
                      <w:rFonts w:ascii="Times New Roman" w:eastAsia="Times New Roman" w:hAnsi="Times New Roman" w:cs="Times New Roman"/>
                      <w:lang w:eastAsia="lt-LT"/>
                    </w:rPr>
                  </w:pPr>
                </w:p>
              </w:tc>
              <w:tc>
                <w:tcPr>
                  <w:tcW w:w="1003" w:type="dxa"/>
                  <w:shd w:val="clear" w:color="auto" w:fill="auto"/>
                </w:tcPr>
                <w:p w14:paraId="73296411"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2017 metai</w:t>
                  </w:r>
                </w:p>
              </w:tc>
              <w:tc>
                <w:tcPr>
                  <w:tcW w:w="1131" w:type="dxa"/>
                  <w:shd w:val="clear" w:color="auto" w:fill="auto"/>
                </w:tcPr>
                <w:p w14:paraId="73296412"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2018 metai</w:t>
                  </w:r>
                </w:p>
              </w:tc>
              <w:tc>
                <w:tcPr>
                  <w:tcW w:w="1133" w:type="dxa"/>
                  <w:shd w:val="clear" w:color="auto" w:fill="auto"/>
                </w:tcPr>
                <w:p w14:paraId="73296413"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2019 metai</w:t>
                  </w:r>
                </w:p>
              </w:tc>
              <w:tc>
                <w:tcPr>
                  <w:tcW w:w="1003" w:type="dxa"/>
                  <w:shd w:val="clear" w:color="auto" w:fill="auto"/>
                </w:tcPr>
                <w:p w14:paraId="73296414"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2020 metai</w:t>
                  </w:r>
                </w:p>
              </w:tc>
              <w:tc>
                <w:tcPr>
                  <w:tcW w:w="1133" w:type="dxa"/>
                  <w:shd w:val="clear" w:color="auto" w:fill="auto"/>
                </w:tcPr>
                <w:p w14:paraId="73296415"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2021 metai</w:t>
                  </w:r>
                </w:p>
              </w:tc>
              <w:tc>
                <w:tcPr>
                  <w:tcW w:w="992" w:type="dxa"/>
                  <w:shd w:val="clear" w:color="auto" w:fill="auto"/>
                </w:tcPr>
                <w:p w14:paraId="73296416"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Iš viso</w:t>
                  </w:r>
                </w:p>
              </w:tc>
            </w:tr>
            <w:tr w:rsidR="008D528F" w:rsidRPr="008D528F" w14:paraId="73296419" w14:textId="77777777" w:rsidTr="00444D77">
              <w:tc>
                <w:tcPr>
                  <w:tcW w:w="9522" w:type="dxa"/>
                  <w:gridSpan w:val="7"/>
                  <w:shd w:val="clear" w:color="auto" w:fill="auto"/>
                </w:tcPr>
                <w:p w14:paraId="73296418"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proofErr w:type="spellStart"/>
                  <w:r w:rsidRPr="008D528F">
                    <w:rPr>
                      <w:rFonts w:ascii="Times New Roman" w:eastAsia="Times New Roman" w:hAnsi="Times New Roman" w:cs="Times New Roman"/>
                      <w:lang w:eastAsia="lt-LT"/>
                    </w:rPr>
                    <w:t>Multifunkcinių</w:t>
                  </w:r>
                  <w:proofErr w:type="spellEnd"/>
                  <w:r w:rsidRPr="008D528F">
                    <w:rPr>
                      <w:rFonts w:ascii="Times New Roman" w:eastAsia="Times New Roman" w:hAnsi="Times New Roman" w:cs="Times New Roman"/>
                      <w:lang w:eastAsia="lt-LT"/>
                    </w:rPr>
                    <w:t xml:space="preserve"> </w:t>
                  </w:r>
                  <w:proofErr w:type="spellStart"/>
                  <w:r w:rsidRPr="008D528F">
                    <w:rPr>
                      <w:rFonts w:ascii="Times New Roman" w:eastAsia="Times New Roman" w:hAnsi="Times New Roman" w:cs="Times New Roman"/>
                      <w:lang w:eastAsia="lt-LT"/>
                    </w:rPr>
                    <w:t>nanodarinių</w:t>
                  </w:r>
                  <w:proofErr w:type="spellEnd"/>
                  <w:r w:rsidRPr="008D528F">
                    <w:rPr>
                      <w:rFonts w:ascii="Times New Roman" w:eastAsia="Times New Roman" w:hAnsi="Times New Roman" w:cs="Times New Roman"/>
                      <w:lang w:eastAsia="lt-LT"/>
                    </w:rPr>
                    <w:t>, biologiškai aktyvių molekulių taikytinų ankstyvai onkologinių susirgimų diagnostikai ir terapijai tyrimai</w:t>
                  </w:r>
                </w:p>
              </w:tc>
            </w:tr>
            <w:tr w:rsidR="008D528F" w:rsidRPr="008D528F" w14:paraId="73296421" w14:textId="77777777" w:rsidTr="00444D77">
              <w:tc>
                <w:tcPr>
                  <w:tcW w:w="3127" w:type="dxa"/>
                  <w:shd w:val="clear" w:color="auto" w:fill="auto"/>
                </w:tcPr>
                <w:p w14:paraId="7329641A"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Programai skirti norminiai etatai/lėšos</w:t>
                  </w:r>
                </w:p>
              </w:tc>
              <w:tc>
                <w:tcPr>
                  <w:tcW w:w="1003" w:type="dxa"/>
                  <w:shd w:val="clear" w:color="auto" w:fill="auto"/>
                </w:tcPr>
                <w:p w14:paraId="7329641B"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2,2/20,9</w:t>
                  </w:r>
                </w:p>
              </w:tc>
              <w:tc>
                <w:tcPr>
                  <w:tcW w:w="1131" w:type="dxa"/>
                  <w:shd w:val="clear" w:color="auto" w:fill="auto"/>
                </w:tcPr>
                <w:p w14:paraId="7329641C"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2,2/20,9</w:t>
                  </w:r>
                </w:p>
              </w:tc>
              <w:tc>
                <w:tcPr>
                  <w:tcW w:w="1133" w:type="dxa"/>
                  <w:shd w:val="clear" w:color="auto" w:fill="auto"/>
                </w:tcPr>
                <w:p w14:paraId="7329641D"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2,2/20,9</w:t>
                  </w:r>
                </w:p>
              </w:tc>
              <w:tc>
                <w:tcPr>
                  <w:tcW w:w="1003" w:type="dxa"/>
                  <w:shd w:val="clear" w:color="auto" w:fill="auto"/>
                </w:tcPr>
                <w:p w14:paraId="7329641E"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2,2/20,9</w:t>
                  </w:r>
                </w:p>
              </w:tc>
              <w:tc>
                <w:tcPr>
                  <w:tcW w:w="1133" w:type="dxa"/>
                  <w:shd w:val="clear" w:color="auto" w:fill="auto"/>
                </w:tcPr>
                <w:p w14:paraId="7329641F"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2,2/20,9</w:t>
                  </w:r>
                </w:p>
              </w:tc>
              <w:tc>
                <w:tcPr>
                  <w:tcW w:w="992" w:type="dxa"/>
                  <w:shd w:val="clear" w:color="auto" w:fill="auto"/>
                </w:tcPr>
                <w:p w14:paraId="73296420"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104,5</w:t>
                  </w:r>
                </w:p>
              </w:tc>
            </w:tr>
            <w:tr w:rsidR="008D528F" w:rsidRPr="008D528F" w14:paraId="73296429" w14:textId="77777777" w:rsidTr="00444D77">
              <w:tc>
                <w:tcPr>
                  <w:tcW w:w="3127" w:type="dxa"/>
                  <w:shd w:val="clear" w:color="auto" w:fill="auto"/>
                </w:tcPr>
                <w:p w14:paraId="73296422"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Kitos lėšos planuojamos programai</w:t>
                  </w:r>
                </w:p>
              </w:tc>
              <w:tc>
                <w:tcPr>
                  <w:tcW w:w="1003" w:type="dxa"/>
                  <w:shd w:val="clear" w:color="auto" w:fill="auto"/>
                </w:tcPr>
                <w:p w14:paraId="73296423" w14:textId="77777777" w:rsidR="008D528F" w:rsidRPr="008D528F" w:rsidRDefault="008D528F" w:rsidP="008D528F">
                  <w:pPr>
                    <w:spacing w:after="0" w:line="240" w:lineRule="auto"/>
                    <w:jc w:val="center"/>
                    <w:rPr>
                      <w:rFonts w:ascii="Times New Roman" w:eastAsia="Calibri" w:hAnsi="Times New Roman" w:cs="Times New Roman"/>
                    </w:rPr>
                  </w:pPr>
                  <w:r w:rsidRPr="008D528F">
                    <w:rPr>
                      <w:rFonts w:ascii="Times New Roman" w:eastAsia="Calibri" w:hAnsi="Times New Roman" w:cs="Times New Roman"/>
                    </w:rPr>
                    <w:t>8,5</w:t>
                  </w:r>
                </w:p>
              </w:tc>
              <w:tc>
                <w:tcPr>
                  <w:tcW w:w="1131" w:type="dxa"/>
                  <w:shd w:val="clear" w:color="auto" w:fill="auto"/>
                </w:tcPr>
                <w:p w14:paraId="73296424" w14:textId="77777777" w:rsidR="008D528F" w:rsidRPr="008D528F" w:rsidRDefault="008D528F" w:rsidP="008D528F">
                  <w:pPr>
                    <w:jc w:val="center"/>
                    <w:rPr>
                      <w:rFonts w:ascii="Times New Roman" w:eastAsia="Calibri" w:hAnsi="Times New Roman" w:cs="Times New Roman"/>
                    </w:rPr>
                  </w:pPr>
                  <w:r w:rsidRPr="008D528F">
                    <w:rPr>
                      <w:rFonts w:ascii="Times New Roman" w:eastAsia="Calibri" w:hAnsi="Times New Roman" w:cs="Times New Roman"/>
                    </w:rPr>
                    <w:t>8,5</w:t>
                  </w:r>
                </w:p>
              </w:tc>
              <w:tc>
                <w:tcPr>
                  <w:tcW w:w="1133" w:type="dxa"/>
                  <w:shd w:val="clear" w:color="auto" w:fill="auto"/>
                </w:tcPr>
                <w:p w14:paraId="73296425" w14:textId="77777777" w:rsidR="008D528F" w:rsidRPr="008D528F" w:rsidRDefault="008D528F" w:rsidP="008D528F">
                  <w:pPr>
                    <w:jc w:val="center"/>
                    <w:rPr>
                      <w:rFonts w:ascii="Times New Roman" w:eastAsia="Calibri" w:hAnsi="Times New Roman" w:cs="Times New Roman"/>
                    </w:rPr>
                  </w:pPr>
                  <w:r w:rsidRPr="008D528F">
                    <w:rPr>
                      <w:rFonts w:ascii="Times New Roman" w:eastAsia="Calibri" w:hAnsi="Times New Roman" w:cs="Times New Roman"/>
                    </w:rPr>
                    <w:t>8,5</w:t>
                  </w:r>
                </w:p>
              </w:tc>
              <w:tc>
                <w:tcPr>
                  <w:tcW w:w="1003" w:type="dxa"/>
                  <w:shd w:val="clear" w:color="auto" w:fill="auto"/>
                </w:tcPr>
                <w:p w14:paraId="73296426" w14:textId="77777777" w:rsidR="008D528F" w:rsidRPr="008D528F" w:rsidRDefault="008D528F" w:rsidP="008D528F">
                  <w:pPr>
                    <w:jc w:val="center"/>
                    <w:rPr>
                      <w:rFonts w:ascii="Times New Roman" w:eastAsia="Calibri" w:hAnsi="Times New Roman" w:cs="Times New Roman"/>
                    </w:rPr>
                  </w:pPr>
                  <w:r w:rsidRPr="008D528F">
                    <w:rPr>
                      <w:rFonts w:ascii="Times New Roman" w:eastAsia="Calibri" w:hAnsi="Times New Roman" w:cs="Times New Roman"/>
                    </w:rPr>
                    <w:t>8,5</w:t>
                  </w:r>
                </w:p>
              </w:tc>
              <w:tc>
                <w:tcPr>
                  <w:tcW w:w="1133" w:type="dxa"/>
                  <w:shd w:val="clear" w:color="auto" w:fill="auto"/>
                </w:tcPr>
                <w:p w14:paraId="73296427" w14:textId="77777777" w:rsidR="008D528F" w:rsidRPr="008D528F" w:rsidRDefault="008D528F" w:rsidP="008D528F">
                  <w:pPr>
                    <w:jc w:val="center"/>
                    <w:rPr>
                      <w:rFonts w:ascii="Times New Roman" w:eastAsia="Calibri" w:hAnsi="Times New Roman" w:cs="Times New Roman"/>
                    </w:rPr>
                  </w:pPr>
                  <w:r w:rsidRPr="008D528F">
                    <w:rPr>
                      <w:rFonts w:ascii="Times New Roman" w:eastAsia="Calibri" w:hAnsi="Times New Roman" w:cs="Times New Roman"/>
                    </w:rPr>
                    <w:t>8,5</w:t>
                  </w:r>
                </w:p>
              </w:tc>
              <w:tc>
                <w:tcPr>
                  <w:tcW w:w="992" w:type="dxa"/>
                  <w:shd w:val="clear" w:color="auto" w:fill="auto"/>
                </w:tcPr>
                <w:p w14:paraId="73296428"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42,5</w:t>
                  </w:r>
                </w:p>
              </w:tc>
            </w:tr>
            <w:tr w:rsidR="008D528F" w:rsidRPr="008D528F" w14:paraId="73296432" w14:textId="77777777" w:rsidTr="00444D77">
              <w:tc>
                <w:tcPr>
                  <w:tcW w:w="3127" w:type="dxa"/>
                  <w:shd w:val="clear" w:color="auto" w:fill="auto"/>
                </w:tcPr>
                <w:p w14:paraId="7329642A" w14:textId="77777777" w:rsidR="008D528F" w:rsidRPr="008D528F" w:rsidRDefault="008D528F" w:rsidP="008D528F">
                  <w:pPr>
                    <w:spacing w:after="0" w:line="240" w:lineRule="auto"/>
                    <w:jc w:val="right"/>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Iš viso:</w:t>
                  </w:r>
                </w:p>
              </w:tc>
              <w:tc>
                <w:tcPr>
                  <w:tcW w:w="1003" w:type="dxa"/>
                  <w:shd w:val="clear" w:color="auto" w:fill="auto"/>
                </w:tcPr>
                <w:p w14:paraId="7329642B"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29,4</w:t>
                  </w:r>
                </w:p>
                <w:p w14:paraId="7329642C"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p>
              </w:tc>
              <w:tc>
                <w:tcPr>
                  <w:tcW w:w="1131" w:type="dxa"/>
                  <w:shd w:val="clear" w:color="auto" w:fill="auto"/>
                </w:tcPr>
                <w:p w14:paraId="7329642D"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29,4</w:t>
                  </w:r>
                </w:p>
              </w:tc>
              <w:tc>
                <w:tcPr>
                  <w:tcW w:w="1133" w:type="dxa"/>
                  <w:shd w:val="clear" w:color="auto" w:fill="auto"/>
                </w:tcPr>
                <w:p w14:paraId="7329642E"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29,4</w:t>
                  </w:r>
                </w:p>
              </w:tc>
              <w:tc>
                <w:tcPr>
                  <w:tcW w:w="1003" w:type="dxa"/>
                  <w:shd w:val="clear" w:color="auto" w:fill="auto"/>
                </w:tcPr>
                <w:p w14:paraId="7329642F"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29,4</w:t>
                  </w:r>
                </w:p>
              </w:tc>
              <w:tc>
                <w:tcPr>
                  <w:tcW w:w="1133" w:type="dxa"/>
                  <w:shd w:val="clear" w:color="auto" w:fill="auto"/>
                </w:tcPr>
                <w:p w14:paraId="73296430"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29,4</w:t>
                  </w:r>
                </w:p>
              </w:tc>
              <w:tc>
                <w:tcPr>
                  <w:tcW w:w="992" w:type="dxa"/>
                  <w:shd w:val="clear" w:color="auto" w:fill="auto"/>
                </w:tcPr>
                <w:p w14:paraId="73296431"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147,00</w:t>
                  </w:r>
                </w:p>
              </w:tc>
            </w:tr>
            <w:tr w:rsidR="008D528F" w:rsidRPr="008D528F" w14:paraId="73296434" w14:textId="77777777" w:rsidTr="00444D77">
              <w:tc>
                <w:tcPr>
                  <w:tcW w:w="9522" w:type="dxa"/>
                  <w:gridSpan w:val="7"/>
                  <w:shd w:val="clear" w:color="auto" w:fill="auto"/>
                </w:tcPr>
                <w:p w14:paraId="73296433"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proofErr w:type="spellStart"/>
                  <w:r w:rsidRPr="008D528F">
                    <w:rPr>
                      <w:rFonts w:ascii="Times New Roman" w:eastAsia="Calibri" w:hAnsi="Times New Roman" w:cs="Times New Roman"/>
                    </w:rPr>
                    <w:t>Inovatyvių</w:t>
                  </w:r>
                  <w:proofErr w:type="spellEnd"/>
                  <w:r w:rsidRPr="008D528F">
                    <w:rPr>
                      <w:rFonts w:ascii="Times New Roman" w:eastAsia="Calibri" w:hAnsi="Times New Roman" w:cs="Times New Roman"/>
                    </w:rPr>
                    <w:t xml:space="preserve"> kontrastinių preparatų kūrimas ir taikymas vėžio diagnostikai</w:t>
                  </w:r>
                </w:p>
              </w:tc>
            </w:tr>
            <w:tr w:rsidR="008D528F" w:rsidRPr="008D528F" w14:paraId="7329643C" w14:textId="77777777" w:rsidTr="00444D77">
              <w:tc>
                <w:tcPr>
                  <w:tcW w:w="3127" w:type="dxa"/>
                  <w:shd w:val="clear" w:color="auto" w:fill="auto"/>
                </w:tcPr>
                <w:p w14:paraId="73296435"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Programai skirti norminiai etatai/lėšos</w:t>
                  </w:r>
                </w:p>
              </w:tc>
              <w:tc>
                <w:tcPr>
                  <w:tcW w:w="1003" w:type="dxa"/>
                  <w:shd w:val="clear" w:color="auto" w:fill="auto"/>
                </w:tcPr>
                <w:p w14:paraId="73296436"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 19,2</w:t>
                  </w:r>
                </w:p>
              </w:tc>
              <w:tc>
                <w:tcPr>
                  <w:tcW w:w="1131" w:type="dxa"/>
                  <w:shd w:val="clear" w:color="auto" w:fill="auto"/>
                </w:tcPr>
                <w:p w14:paraId="73296437"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 19,2</w:t>
                  </w:r>
                </w:p>
              </w:tc>
              <w:tc>
                <w:tcPr>
                  <w:tcW w:w="1133" w:type="dxa"/>
                  <w:shd w:val="clear" w:color="auto" w:fill="auto"/>
                </w:tcPr>
                <w:p w14:paraId="73296438"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 19,2</w:t>
                  </w:r>
                </w:p>
              </w:tc>
              <w:tc>
                <w:tcPr>
                  <w:tcW w:w="1003" w:type="dxa"/>
                  <w:shd w:val="clear" w:color="auto" w:fill="auto"/>
                </w:tcPr>
                <w:p w14:paraId="73296439"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 19,2</w:t>
                  </w:r>
                </w:p>
              </w:tc>
              <w:tc>
                <w:tcPr>
                  <w:tcW w:w="1133" w:type="dxa"/>
                  <w:shd w:val="clear" w:color="auto" w:fill="auto"/>
                </w:tcPr>
                <w:p w14:paraId="7329643A"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 19,2</w:t>
                  </w:r>
                </w:p>
              </w:tc>
              <w:tc>
                <w:tcPr>
                  <w:tcW w:w="992" w:type="dxa"/>
                  <w:shd w:val="clear" w:color="auto" w:fill="auto"/>
                </w:tcPr>
                <w:p w14:paraId="7329643B"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96,0</w:t>
                  </w:r>
                </w:p>
              </w:tc>
            </w:tr>
            <w:tr w:rsidR="008D528F" w:rsidRPr="008D528F" w14:paraId="73296444" w14:textId="77777777" w:rsidTr="00444D77">
              <w:tc>
                <w:tcPr>
                  <w:tcW w:w="3127" w:type="dxa"/>
                  <w:shd w:val="clear" w:color="auto" w:fill="auto"/>
                </w:tcPr>
                <w:p w14:paraId="7329643D"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Kitos lėšos planuojamos programai</w:t>
                  </w:r>
                </w:p>
              </w:tc>
              <w:tc>
                <w:tcPr>
                  <w:tcW w:w="1003" w:type="dxa"/>
                  <w:shd w:val="clear" w:color="auto" w:fill="auto"/>
                </w:tcPr>
                <w:p w14:paraId="7329643E"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8,0</w:t>
                  </w:r>
                </w:p>
              </w:tc>
              <w:tc>
                <w:tcPr>
                  <w:tcW w:w="1131" w:type="dxa"/>
                  <w:shd w:val="clear" w:color="auto" w:fill="auto"/>
                </w:tcPr>
                <w:p w14:paraId="7329643F"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8,0</w:t>
                  </w:r>
                </w:p>
              </w:tc>
              <w:tc>
                <w:tcPr>
                  <w:tcW w:w="1133" w:type="dxa"/>
                  <w:shd w:val="clear" w:color="auto" w:fill="auto"/>
                </w:tcPr>
                <w:p w14:paraId="73296440"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8,0</w:t>
                  </w:r>
                </w:p>
              </w:tc>
              <w:tc>
                <w:tcPr>
                  <w:tcW w:w="1003" w:type="dxa"/>
                  <w:shd w:val="clear" w:color="auto" w:fill="auto"/>
                </w:tcPr>
                <w:p w14:paraId="73296441"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8,0</w:t>
                  </w:r>
                </w:p>
              </w:tc>
              <w:tc>
                <w:tcPr>
                  <w:tcW w:w="1133" w:type="dxa"/>
                  <w:shd w:val="clear" w:color="auto" w:fill="auto"/>
                </w:tcPr>
                <w:p w14:paraId="73296442"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8,0</w:t>
                  </w:r>
                </w:p>
              </w:tc>
              <w:tc>
                <w:tcPr>
                  <w:tcW w:w="992" w:type="dxa"/>
                  <w:shd w:val="clear" w:color="auto" w:fill="auto"/>
                </w:tcPr>
                <w:p w14:paraId="73296443"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40,0</w:t>
                  </w:r>
                </w:p>
              </w:tc>
            </w:tr>
            <w:tr w:rsidR="008D528F" w:rsidRPr="008D528F" w14:paraId="7329644C" w14:textId="77777777" w:rsidTr="00444D77">
              <w:tc>
                <w:tcPr>
                  <w:tcW w:w="3127" w:type="dxa"/>
                  <w:shd w:val="clear" w:color="auto" w:fill="auto"/>
                </w:tcPr>
                <w:p w14:paraId="73296445" w14:textId="77777777" w:rsidR="008D528F" w:rsidRPr="008D528F" w:rsidRDefault="008D528F" w:rsidP="008D528F">
                  <w:pPr>
                    <w:spacing w:after="0" w:line="240" w:lineRule="auto"/>
                    <w:jc w:val="right"/>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Iš viso:</w:t>
                  </w:r>
                </w:p>
              </w:tc>
              <w:tc>
                <w:tcPr>
                  <w:tcW w:w="1003" w:type="dxa"/>
                  <w:shd w:val="clear" w:color="auto" w:fill="auto"/>
                </w:tcPr>
                <w:p w14:paraId="73296446"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27,2</w:t>
                  </w:r>
                </w:p>
              </w:tc>
              <w:tc>
                <w:tcPr>
                  <w:tcW w:w="1131" w:type="dxa"/>
                  <w:shd w:val="clear" w:color="auto" w:fill="auto"/>
                </w:tcPr>
                <w:p w14:paraId="73296447"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27,2</w:t>
                  </w:r>
                </w:p>
              </w:tc>
              <w:tc>
                <w:tcPr>
                  <w:tcW w:w="1133" w:type="dxa"/>
                  <w:shd w:val="clear" w:color="auto" w:fill="auto"/>
                </w:tcPr>
                <w:p w14:paraId="73296448"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27,2</w:t>
                  </w:r>
                </w:p>
              </w:tc>
              <w:tc>
                <w:tcPr>
                  <w:tcW w:w="1003" w:type="dxa"/>
                  <w:shd w:val="clear" w:color="auto" w:fill="auto"/>
                </w:tcPr>
                <w:p w14:paraId="73296449"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27,2</w:t>
                  </w:r>
                </w:p>
              </w:tc>
              <w:tc>
                <w:tcPr>
                  <w:tcW w:w="1133" w:type="dxa"/>
                  <w:shd w:val="clear" w:color="auto" w:fill="auto"/>
                </w:tcPr>
                <w:p w14:paraId="7329644A"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27,2</w:t>
                  </w:r>
                </w:p>
              </w:tc>
              <w:tc>
                <w:tcPr>
                  <w:tcW w:w="992" w:type="dxa"/>
                  <w:shd w:val="clear" w:color="auto" w:fill="auto"/>
                </w:tcPr>
                <w:p w14:paraId="7329644B"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136,0</w:t>
                  </w:r>
                </w:p>
              </w:tc>
            </w:tr>
            <w:tr w:rsidR="008D528F" w:rsidRPr="008D528F" w14:paraId="7329644E" w14:textId="77777777" w:rsidTr="00444D77">
              <w:tc>
                <w:tcPr>
                  <w:tcW w:w="9522" w:type="dxa"/>
                  <w:gridSpan w:val="7"/>
                  <w:shd w:val="clear" w:color="auto" w:fill="auto"/>
                </w:tcPr>
                <w:p w14:paraId="7329644D"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Calibri" w:hAnsi="Times New Roman" w:cs="Times New Roman"/>
                    </w:rPr>
                    <w:t>Molekulinių vėžio diagnostikos sistemų kūrimas</w:t>
                  </w:r>
                </w:p>
              </w:tc>
            </w:tr>
            <w:tr w:rsidR="008D528F" w:rsidRPr="008D528F" w14:paraId="73296456" w14:textId="77777777" w:rsidTr="00444D77">
              <w:tc>
                <w:tcPr>
                  <w:tcW w:w="3127" w:type="dxa"/>
                  <w:shd w:val="clear" w:color="auto" w:fill="auto"/>
                </w:tcPr>
                <w:p w14:paraId="7329644F"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Programai skirti norminiai etatai/lėšos</w:t>
                  </w:r>
                </w:p>
              </w:tc>
              <w:tc>
                <w:tcPr>
                  <w:tcW w:w="1003" w:type="dxa"/>
                  <w:shd w:val="clear" w:color="auto" w:fill="auto"/>
                </w:tcPr>
                <w:p w14:paraId="73296450"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 19,2</w:t>
                  </w:r>
                </w:p>
              </w:tc>
              <w:tc>
                <w:tcPr>
                  <w:tcW w:w="1131" w:type="dxa"/>
                  <w:shd w:val="clear" w:color="auto" w:fill="auto"/>
                </w:tcPr>
                <w:p w14:paraId="73296451"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 19,2</w:t>
                  </w:r>
                </w:p>
              </w:tc>
              <w:tc>
                <w:tcPr>
                  <w:tcW w:w="1133" w:type="dxa"/>
                  <w:shd w:val="clear" w:color="auto" w:fill="auto"/>
                </w:tcPr>
                <w:p w14:paraId="73296452"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 19,2</w:t>
                  </w:r>
                </w:p>
              </w:tc>
              <w:tc>
                <w:tcPr>
                  <w:tcW w:w="1003" w:type="dxa"/>
                  <w:shd w:val="clear" w:color="auto" w:fill="auto"/>
                </w:tcPr>
                <w:p w14:paraId="73296453"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 19,2</w:t>
                  </w:r>
                </w:p>
              </w:tc>
              <w:tc>
                <w:tcPr>
                  <w:tcW w:w="1133" w:type="dxa"/>
                  <w:shd w:val="clear" w:color="auto" w:fill="auto"/>
                </w:tcPr>
                <w:p w14:paraId="73296454"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2/ 19,2</w:t>
                  </w:r>
                </w:p>
              </w:tc>
              <w:tc>
                <w:tcPr>
                  <w:tcW w:w="992" w:type="dxa"/>
                  <w:shd w:val="clear" w:color="auto" w:fill="auto"/>
                </w:tcPr>
                <w:p w14:paraId="73296455"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96,0</w:t>
                  </w:r>
                </w:p>
              </w:tc>
            </w:tr>
            <w:tr w:rsidR="008D528F" w:rsidRPr="008D528F" w14:paraId="7329645E" w14:textId="77777777" w:rsidTr="00444D77">
              <w:tc>
                <w:tcPr>
                  <w:tcW w:w="3127" w:type="dxa"/>
                  <w:shd w:val="clear" w:color="auto" w:fill="auto"/>
                </w:tcPr>
                <w:p w14:paraId="73296457"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Kitos lėšos planuojamos programai</w:t>
                  </w:r>
                </w:p>
              </w:tc>
              <w:tc>
                <w:tcPr>
                  <w:tcW w:w="1003" w:type="dxa"/>
                  <w:shd w:val="clear" w:color="auto" w:fill="auto"/>
                </w:tcPr>
                <w:p w14:paraId="73296458"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8,0</w:t>
                  </w:r>
                </w:p>
              </w:tc>
              <w:tc>
                <w:tcPr>
                  <w:tcW w:w="1131" w:type="dxa"/>
                  <w:shd w:val="clear" w:color="auto" w:fill="auto"/>
                </w:tcPr>
                <w:p w14:paraId="73296459"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8,0</w:t>
                  </w:r>
                </w:p>
              </w:tc>
              <w:tc>
                <w:tcPr>
                  <w:tcW w:w="1133" w:type="dxa"/>
                  <w:shd w:val="clear" w:color="auto" w:fill="auto"/>
                </w:tcPr>
                <w:p w14:paraId="7329645A"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8,0</w:t>
                  </w:r>
                </w:p>
              </w:tc>
              <w:tc>
                <w:tcPr>
                  <w:tcW w:w="1003" w:type="dxa"/>
                  <w:shd w:val="clear" w:color="auto" w:fill="auto"/>
                </w:tcPr>
                <w:p w14:paraId="7329645B"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8,0</w:t>
                  </w:r>
                </w:p>
              </w:tc>
              <w:tc>
                <w:tcPr>
                  <w:tcW w:w="1133" w:type="dxa"/>
                  <w:shd w:val="clear" w:color="auto" w:fill="auto"/>
                </w:tcPr>
                <w:p w14:paraId="7329645C"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8,0</w:t>
                  </w:r>
                </w:p>
              </w:tc>
              <w:tc>
                <w:tcPr>
                  <w:tcW w:w="992" w:type="dxa"/>
                  <w:shd w:val="clear" w:color="auto" w:fill="auto"/>
                </w:tcPr>
                <w:p w14:paraId="7329645D"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40,0</w:t>
                  </w:r>
                </w:p>
              </w:tc>
            </w:tr>
            <w:tr w:rsidR="008D528F" w:rsidRPr="008D528F" w14:paraId="73296466" w14:textId="77777777" w:rsidTr="00444D77">
              <w:tc>
                <w:tcPr>
                  <w:tcW w:w="3127" w:type="dxa"/>
                  <w:shd w:val="clear" w:color="auto" w:fill="auto"/>
                </w:tcPr>
                <w:p w14:paraId="7329645F" w14:textId="77777777" w:rsidR="008D528F" w:rsidRPr="008D528F" w:rsidRDefault="008D528F" w:rsidP="008D528F">
                  <w:pPr>
                    <w:spacing w:after="0" w:line="240" w:lineRule="auto"/>
                    <w:jc w:val="right"/>
                    <w:rPr>
                      <w:rFonts w:ascii="Times New Roman" w:eastAsia="Times New Roman" w:hAnsi="Times New Roman" w:cs="Times New Roman"/>
                      <w:lang w:eastAsia="lt-LT"/>
                    </w:rPr>
                  </w:pPr>
                  <w:r w:rsidRPr="008D528F">
                    <w:rPr>
                      <w:rFonts w:ascii="Times New Roman" w:eastAsia="Times New Roman" w:hAnsi="Times New Roman" w:cs="Times New Roman"/>
                      <w:lang w:eastAsia="lt-LT"/>
                    </w:rPr>
                    <w:lastRenderedPageBreak/>
                    <w:t>Iš viso:</w:t>
                  </w:r>
                </w:p>
              </w:tc>
              <w:tc>
                <w:tcPr>
                  <w:tcW w:w="1003" w:type="dxa"/>
                  <w:shd w:val="clear" w:color="auto" w:fill="auto"/>
                </w:tcPr>
                <w:p w14:paraId="73296460"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27,2</w:t>
                  </w:r>
                </w:p>
              </w:tc>
              <w:tc>
                <w:tcPr>
                  <w:tcW w:w="1131" w:type="dxa"/>
                  <w:shd w:val="clear" w:color="auto" w:fill="auto"/>
                </w:tcPr>
                <w:p w14:paraId="73296461"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27,2</w:t>
                  </w:r>
                </w:p>
              </w:tc>
              <w:tc>
                <w:tcPr>
                  <w:tcW w:w="1133" w:type="dxa"/>
                  <w:shd w:val="clear" w:color="auto" w:fill="auto"/>
                </w:tcPr>
                <w:p w14:paraId="73296462"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27,2</w:t>
                  </w:r>
                </w:p>
              </w:tc>
              <w:tc>
                <w:tcPr>
                  <w:tcW w:w="1003" w:type="dxa"/>
                  <w:shd w:val="clear" w:color="auto" w:fill="auto"/>
                </w:tcPr>
                <w:p w14:paraId="73296463"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27,2</w:t>
                  </w:r>
                </w:p>
              </w:tc>
              <w:tc>
                <w:tcPr>
                  <w:tcW w:w="1133" w:type="dxa"/>
                  <w:shd w:val="clear" w:color="auto" w:fill="auto"/>
                </w:tcPr>
                <w:p w14:paraId="73296464"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27,2</w:t>
                  </w:r>
                </w:p>
              </w:tc>
              <w:tc>
                <w:tcPr>
                  <w:tcW w:w="992" w:type="dxa"/>
                  <w:shd w:val="clear" w:color="auto" w:fill="auto"/>
                </w:tcPr>
                <w:p w14:paraId="73296465"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136,0</w:t>
                  </w:r>
                </w:p>
              </w:tc>
            </w:tr>
            <w:tr w:rsidR="008D528F" w:rsidRPr="008D528F" w14:paraId="73296468" w14:textId="77777777" w:rsidTr="00444D77">
              <w:tc>
                <w:tcPr>
                  <w:tcW w:w="9522" w:type="dxa"/>
                  <w:gridSpan w:val="7"/>
                  <w:shd w:val="clear" w:color="auto" w:fill="auto"/>
                </w:tcPr>
                <w:p w14:paraId="73296467"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Iš viso  uždaviniui:</w:t>
                  </w:r>
                </w:p>
              </w:tc>
            </w:tr>
            <w:tr w:rsidR="008D528F" w:rsidRPr="008D528F" w14:paraId="73296470" w14:textId="77777777" w:rsidTr="00444D77">
              <w:tc>
                <w:tcPr>
                  <w:tcW w:w="3127" w:type="dxa"/>
                  <w:shd w:val="clear" w:color="auto" w:fill="auto"/>
                </w:tcPr>
                <w:p w14:paraId="73296469"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Programai skirti norminiai etatai/lėšos</w:t>
                  </w:r>
                </w:p>
              </w:tc>
              <w:tc>
                <w:tcPr>
                  <w:tcW w:w="1003" w:type="dxa"/>
                  <w:shd w:val="clear" w:color="auto" w:fill="auto"/>
                </w:tcPr>
                <w:p w14:paraId="7329646A"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6,2/59,3</w:t>
                  </w:r>
                </w:p>
              </w:tc>
              <w:tc>
                <w:tcPr>
                  <w:tcW w:w="1131" w:type="dxa"/>
                  <w:shd w:val="clear" w:color="auto" w:fill="auto"/>
                </w:tcPr>
                <w:p w14:paraId="7329646B"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6,2/59,3</w:t>
                  </w:r>
                </w:p>
              </w:tc>
              <w:tc>
                <w:tcPr>
                  <w:tcW w:w="1133" w:type="dxa"/>
                  <w:shd w:val="clear" w:color="auto" w:fill="auto"/>
                </w:tcPr>
                <w:p w14:paraId="7329646C"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6,2/59,3</w:t>
                  </w:r>
                </w:p>
              </w:tc>
              <w:tc>
                <w:tcPr>
                  <w:tcW w:w="1003" w:type="dxa"/>
                  <w:shd w:val="clear" w:color="auto" w:fill="auto"/>
                </w:tcPr>
                <w:p w14:paraId="7329646D"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6,2/59,3</w:t>
                  </w:r>
                </w:p>
              </w:tc>
              <w:tc>
                <w:tcPr>
                  <w:tcW w:w="1133" w:type="dxa"/>
                  <w:shd w:val="clear" w:color="auto" w:fill="auto"/>
                </w:tcPr>
                <w:p w14:paraId="7329646E" w14:textId="77777777" w:rsidR="008D528F" w:rsidRPr="008D528F" w:rsidRDefault="008D528F" w:rsidP="008D528F">
                  <w:pPr>
                    <w:rPr>
                      <w:rFonts w:ascii="Times New Roman" w:eastAsia="Calibri" w:hAnsi="Times New Roman" w:cs="Times New Roman"/>
                    </w:rPr>
                  </w:pPr>
                  <w:r w:rsidRPr="008D528F">
                    <w:rPr>
                      <w:rFonts w:ascii="Times New Roman" w:eastAsia="Times New Roman" w:hAnsi="Times New Roman" w:cs="Times New Roman"/>
                      <w:lang w:eastAsia="lt-LT"/>
                    </w:rPr>
                    <w:t>6,2/59,3</w:t>
                  </w:r>
                </w:p>
              </w:tc>
              <w:tc>
                <w:tcPr>
                  <w:tcW w:w="992" w:type="dxa"/>
                  <w:shd w:val="clear" w:color="auto" w:fill="auto"/>
                </w:tcPr>
                <w:p w14:paraId="7329646F"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296,5</w:t>
                  </w:r>
                </w:p>
              </w:tc>
            </w:tr>
            <w:tr w:rsidR="008D528F" w:rsidRPr="008D528F" w14:paraId="73296478" w14:textId="77777777" w:rsidTr="00444D77">
              <w:tc>
                <w:tcPr>
                  <w:tcW w:w="3127" w:type="dxa"/>
                  <w:shd w:val="clear" w:color="auto" w:fill="auto"/>
                </w:tcPr>
                <w:p w14:paraId="73296471" w14:textId="77777777" w:rsidR="008D528F" w:rsidRPr="008D528F" w:rsidRDefault="008D528F" w:rsidP="008D528F">
                  <w:pPr>
                    <w:spacing w:after="0" w:line="240" w:lineRule="auto"/>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Kitos lėšos planuojamos programai</w:t>
                  </w:r>
                </w:p>
              </w:tc>
              <w:tc>
                <w:tcPr>
                  <w:tcW w:w="1003" w:type="dxa"/>
                  <w:shd w:val="clear" w:color="auto" w:fill="auto"/>
                </w:tcPr>
                <w:p w14:paraId="73296472"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24,5</w:t>
                  </w:r>
                </w:p>
              </w:tc>
              <w:tc>
                <w:tcPr>
                  <w:tcW w:w="1131" w:type="dxa"/>
                  <w:shd w:val="clear" w:color="auto" w:fill="auto"/>
                </w:tcPr>
                <w:p w14:paraId="73296473"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24,5</w:t>
                  </w:r>
                </w:p>
              </w:tc>
              <w:tc>
                <w:tcPr>
                  <w:tcW w:w="1133" w:type="dxa"/>
                  <w:shd w:val="clear" w:color="auto" w:fill="auto"/>
                </w:tcPr>
                <w:p w14:paraId="73296474"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24,5</w:t>
                  </w:r>
                </w:p>
              </w:tc>
              <w:tc>
                <w:tcPr>
                  <w:tcW w:w="1003" w:type="dxa"/>
                  <w:shd w:val="clear" w:color="auto" w:fill="auto"/>
                </w:tcPr>
                <w:p w14:paraId="73296475"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24,5</w:t>
                  </w:r>
                </w:p>
              </w:tc>
              <w:tc>
                <w:tcPr>
                  <w:tcW w:w="1133" w:type="dxa"/>
                  <w:shd w:val="clear" w:color="auto" w:fill="auto"/>
                </w:tcPr>
                <w:p w14:paraId="73296476"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24,5</w:t>
                  </w:r>
                </w:p>
              </w:tc>
              <w:tc>
                <w:tcPr>
                  <w:tcW w:w="992" w:type="dxa"/>
                  <w:shd w:val="clear" w:color="auto" w:fill="auto"/>
                </w:tcPr>
                <w:p w14:paraId="73296477"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122,5</w:t>
                  </w:r>
                </w:p>
              </w:tc>
            </w:tr>
            <w:tr w:rsidR="008D528F" w:rsidRPr="008D528F" w14:paraId="73296480" w14:textId="77777777" w:rsidTr="00444D77">
              <w:tc>
                <w:tcPr>
                  <w:tcW w:w="3127" w:type="dxa"/>
                  <w:shd w:val="clear" w:color="auto" w:fill="auto"/>
                </w:tcPr>
                <w:p w14:paraId="73296479" w14:textId="77777777" w:rsidR="008D528F" w:rsidRPr="008D528F" w:rsidRDefault="008D528F" w:rsidP="008D528F">
                  <w:pPr>
                    <w:spacing w:after="0" w:line="240" w:lineRule="auto"/>
                    <w:jc w:val="right"/>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Iš viso:</w:t>
                  </w:r>
                </w:p>
              </w:tc>
              <w:tc>
                <w:tcPr>
                  <w:tcW w:w="1003" w:type="dxa"/>
                  <w:shd w:val="clear" w:color="auto" w:fill="auto"/>
                </w:tcPr>
                <w:p w14:paraId="7329647A"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83,8</w:t>
                  </w:r>
                </w:p>
              </w:tc>
              <w:tc>
                <w:tcPr>
                  <w:tcW w:w="1131" w:type="dxa"/>
                  <w:shd w:val="clear" w:color="auto" w:fill="auto"/>
                </w:tcPr>
                <w:p w14:paraId="7329647B"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83,8</w:t>
                  </w:r>
                </w:p>
              </w:tc>
              <w:tc>
                <w:tcPr>
                  <w:tcW w:w="1133" w:type="dxa"/>
                  <w:shd w:val="clear" w:color="auto" w:fill="auto"/>
                </w:tcPr>
                <w:p w14:paraId="7329647C"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83,8</w:t>
                  </w:r>
                </w:p>
              </w:tc>
              <w:tc>
                <w:tcPr>
                  <w:tcW w:w="1003" w:type="dxa"/>
                  <w:shd w:val="clear" w:color="auto" w:fill="auto"/>
                </w:tcPr>
                <w:p w14:paraId="7329647D"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83,8</w:t>
                  </w:r>
                </w:p>
              </w:tc>
              <w:tc>
                <w:tcPr>
                  <w:tcW w:w="1133" w:type="dxa"/>
                  <w:shd w:val="clear" w:color="auto" w:fill="auto"/>
                </w:tcPr>
                <w:p w14:paraId="7329647E"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83,8</w:t>
                  </w:r>
                </w:p>
              </w:tc>
              <w:tc>
                <w:tcPr>
                  <w:tcW w:w="992" w:type="dxa"/>
                  <w:shd w:val="clear" w:color="auto" w:fill="auto"/>
                </w:tcPr>
                <w:p w14:paraId="7329647F"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419,0</w:t>
                  </w:r>
                </w:p>
              </w:tc>
            </w:tr>
          </w:tbl>
          <w:p w14:paraId="73296481" w14:textId="77777777" w:rsidR="008D528F" w:rsidRPr="008D528F" w:rsidRDefault="008D528F" w:rsidP="008D528F">
            <w:pPr>
              <w:spacing w:after="0" w:line="240" w:lineRule="auto"/>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b/>
                <w:sz w:val="24"/>
                <w:szCs w:val="24"/>
                <w:lang w:eastAsia="lt-LT"/>
              </w:rPr>
              <w:t xml:space="preserve">    6. Numatomi rezultatai:</w:t>
            </w:r>
          </w:p>
          <w:p w14:paraId="73296482" w14:textId="77777777" w:rsidR="008D528F" w:rsidRPr="008D528F" w:rsidRDefault="008D528F" w:rsidP="008D528F">
            <w:pPr>
              <w:spacing w:after="0" w:line="240" w:lineRule="auto"/>
              <w:ind w:left="29"/>
              <w:contextualSpacing/>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sz w:val="24"/>
                <w:szCs w:val="24"/>
                <w:lang w:eastAsia="lt-LT"/>
              </w:rPr>
              <w:t xml:space="preserve">Įgyvendinant šią programą per 5 metus bus parengta bent 10 publikacijų ISI WOS sąrašo leidiniuose ir kituose periodiniuose recenzuojamuose mokslo leidiniuose. Taip pat planuojama parengti bent 2 rekomendacijas ankstyvosios piktybinių naikų diagnostikos gerinimui, naudojant </w:t>
            </w:r>
            <w:proofErr w:type="spellStart"/>
            <w:r w:rsidRPr="008D528F">
              <w:rPr>
                <w:rFonts w:ascii="Times New Roman" w:eastAsia="Times New Roman" w:hAnsi="Times New Roman" w:cs="Times New Roman"/>
                <w:sz w:val="24"/>
                <w:szCs w:val="24"/>
                <w:lang w:eastAsia="lt-LT"/>
              </w:rPr>
              <w:t>inovatyvius</w:t>
            </w:r>
            <w:proofErr w:type="spellEnd"/>
            <w:r w:rsidRPr="008D528F">
              <w:rPr>
                <w:rFonts w:ascii="Times New Roman" w:eastAsia="Times New Roman" w:hAnsi="Times New Roman" w:cs="Times New Roman"/>
                <w:sz w:val="24"/>
                <w:szCs w:val="24"/>
                <w:lang w:eastAsia="lt-LT"/>
              </w:rPr>
              <w:t xml:space="preserve"> vaizdinimo bei molekulinės diagnostikos žymenis. P</w:t>
            </w:r>
            <w:r w:rsidRPr="008D528F">
              <w:rPr>
                <w:rFonts w:ascii="Times New Roman" w:eastAsia="Calibri" w:hAnsi="Times New Roman" w:cs="Times New Roman"/>
                <w:bCs/>
                <w:sz w:val="24"/>
                <w:szCs w:val="24"/>
                <w:lang w:eastAsia="lt-LT"/>
              </w:rPr>
              <w:t>lanuojama pateikti bent 3 paraiškas mokslo projektų finansavimui, apginti bent 2 mokslo daktaro disertacijas, parengti bent 5 baigiamuosius studentų darbus.</w:t>
            </w:r>
          </w:p>
        </w:tc>
      </w:tr>
      <w:tr w:rsidR="008D528F" w:rsidRPr="008D528F" w14:paraId="73296486" w14:textId="77777777" w:rsidTr="00444D77">
        <w:tc>
          <w:tcPr>
            <w:tcW w:w="9816" w:type="dxa"/>
            <w:shd w:val="clear" w:color="auto" w:fill="auto"/>
          </w:tcPr>
          <w:p w14:paraId="73296484" w14:textId="77777777" w:rsidR="008D528F" w:rsidRPr="008D528F" w:rsidRDefault="008D528F" w:rsidP="008D528F">
            <w:pPr>
              <w:spacing w:after="0" w:line="240" w:lineRule="auto"/>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b/>
                <w:sz w:val="24"/>
                <w:szCs w:val="24"/>
                <w:lang w:eastAsia="lt-LT"/>
              </w:rPr>
              <w:lastRenderedPageBreak/>
              <w:t xml:space="preserve">    7. Rezultatų sklaidos priemonės:</w:t>
            </w:r>
          </w:p>
          <w:p w14:paraId="73296485" w14:textId="77777777" w:rsidR="008D528F" w:rsidRPr="008D528F" w:rsidRDefault="008D528F" w:rsidP="008D528F">
            <w:pPr>
              <w:spacing w:after="0" w:line="240" w:lineRule="auto"/>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sz w:val="24"/>
                <w:szCs w:val="24"/>
                <w:lang w:eastAsia="lt-LT"/>
              </w:rPr>
              <w:t xml:space="preserve">Įgyvendinant programą per 5 metus bus parengta bent 10 pranešimų nacionalinėse ir tarptautinėse mokslo konferencijose, mokslo populiarinimo straipsnių, </w:t>
            </w:r>
            <w:r w:rsidRPr="008D528F">
              <w:rPr>
                <w:rFonts w:ascii="Times New Roman" w:eastAsia="Calibri" w:hAnsi="Times New Roman" w:cs="Times New Roman"/>
                <w:sz w:val="24"/>
                <w:szCs w:val="24"/>
              </w:rPr>
              <w:t xml:space="preserve">informacinių pranešimų </w:t>
            </w:r>
            <w:r w:rsidRPr="008D528F">
              <w:rPr>
                <w:rFonts w:ascii="Times New Roman" w:eastAsia="Times New Roman" w:hAnsi="Times New Roman" w:cs="Times New Roman"/>
                <w:sz w:val="24"/>
                <w:szCs w:val="24"/>
                <w:lang w:eastAsia="lt-LT"/>
              </w:rPr>
              <w:t xml:space="preserve">Nacionalinio vėžio instituto interneto svetainėje. Rezultatai kasmet bus skelbiami tarptautinėse onkologų, molekulinės biologijos, </w:t>
            </w:r>
            <w:proofErr w:type="spellStart"/>
            <w:r w:rsidRPr="008D528F">
              <w:rPr>
                <w:rFonts w:ascii="Times New Roman" w:eastAsia="Times New Roman" w:hAnsi="Times New Roman" w:cs="Times New Roman"/>
                <w:sz w:val="24"/>
                <w:szCs w:val="24"/>
                <w:lang w:eastAsia="lt-LT"/>
              </w:rPr>
              <w:t>biobankų</w:t>
            </w:r>
            <w:proofErr w:type="spellEnd"/>
            <w:r w:rsidRPr="008D528F">
              <w:rPr>
                <w:rFonts w:ascii="Times New Roman" w:eastAsia="Times New Roman" w:hAnsi="Times New Roman" w:cs="Times New Roman"/>
                <w:sz w:val="24"/>
                <w:szCs w:val="24"/>
                <w:lang w:eastAsia="lt-LT"/>
              </w:rPr>
              <w:t xml:space="preserve"> veiklos ir kitose susijusiose mokslinėse praktinėse konferencijose. </w:t>
            </w:r>
          </w:p>
        </w:tc>
      </w:tr>
      <w:tr w:rsidR="008D528F" w:rsidRPr="008D528F" w14:paraId="732964B4" w14:textId="77777777" w:rsidTr="00444D77">
        <w:tc>
          <w:tcPr>
            <w:tcW w:w="9816" w:type="dxa"/>
            <w:shd w:val="clear" w:color="auto" w:fill="auto"/>
          </w:tcPr>
          <w:p w14:paraId="73296487" w14:textId="77777777" w:rsidR="008D528F" w:rsidRPr="008D528F" w:rsidRDefault="008D528F" w:rsidP="008D528F">
            <w:pPr>
              <w:spacing w:after="0" w:line="240" w:lineRule="auto"/>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b/>
                <w:sz w:val="24"/>
                <w:szCs w:val="24"/>
                <w:lang w:eastAsia="lt-LT"/>
              </w:rPr>
              <w:t xml:space="preserve">    8. Preliminarus programos lėšų paskirstymas (tūkst. </w:t>
            </w:r>
            <w:proofErr w:type="spellStart"/>
            <w:r w:rsidRPr="008D528F">
              <w:rPr>
                <w:rFonts w:ascii="Times New Roman" w:eastAsia="Times New Roman" w:hAnsi="Times New Roman" w:cs="Times New Roman"/>
                <w:b/>
                <w:sz w:val="24"/>
                <w:szCs w:val="24"/>
                <w:lang w:eastAsia="lt-LT"/>
              </w:rPr>
              <w:t>Eur</w:t>
            </w:r>
            <w:proofErr w:type="spellEnd"/>
            <w:r w:rsidRPr="008D528F">
              <w:rPr>
                <w:rFonts w:ascii="Times New Roman" w:eastAsia="Times New Roman" w:hAnsi="Times New Roman" w:cs="Times New Roman"/>
                <w:b/>
                <w:sz w:val="24"/>
                <w:szCs w:val="24"/>
                <w:lang w:eastAsia="lt-LT"/>
              </w:rPr>
              <w:t>.):</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41"/>
              <w:gridCol w:w="912"/>
              <w:gridCol w:w="912"/>
              <w:gridCol w:w="913"/>
              <w:gridCol w:w="912"/>
              <w:gridCol w:w="912"/>
              <w:gridCol w:w="1203"/>
            </w:tblGrid>
            <w:tr w:rsidR="008D528F" w:rsidRPr="008D528F" w14:paraId="73296490" w14:textId="77777777" w:rsidTr="00444D77">
              <w:tc>
                <w:tcPr>
                  <w:tcW w:w="582" w:type="dxa"/>
                  <w:shd w:val="clear" w:color="auto" w:fill="auto"/>
                </w:tcPr>
                <w:p w14:paraId="73296488" w14:textId="77777777" w:rsidR="008D528F" w:rsidRPr="008D528F" w:rsidRDefault="008D528F" w:rsidP="008D528F">
                  <w:pPr>
                    <w:spacing w:after="0" w:line="240" w:lineRule="auto"/>
                    <w:contextualSpacing/>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 xml:space="preserve">Eil. Nr. </w:t>
                  </w:r>
                </w:p>
              </w:tc>
              <w:tc>
                <w:tcPr>
                  <w:tcW w:w="3241" w:type="dxa"/>
                  <w:shd w:val="clear" w:color="auto" w:fill="auto"/>
                </w:tcPr>
                <w:p w14:paraId="73296489" w14:textId="77777777" w:rsidR="008D528F" w:rsidRPr="008D528F" w:rsidRDefault="008D528F" w:rsidP="008D528F">
                  <w:pPr>
                    <w:spacing w:after="0" w:line="240" w:lineRule="auto"/>
                    <w:contextualSpacing/>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Išlaidų pavadinimas</w:t>
                  </w:r>
                </w:p>
              </w:tc>
              <w:tc>
                <w:tcPr>
                  <w:tcW w:w="912" w:type="dxa"/>
                  <w:shd w:val="clear" w:color="auto" w:fill="auto"/>
                </w:tcPr>
                <w:p w14:paraId="7329648A" w14:textId="77777777" w:rsidR="008D528F" w:rsidRPr="008D528F" w:rsidRDefault="008D528F" w:rsidP="008D528F">
                  <w:pPr>
                    <w:spacing w:after="0" w:line="240" w:lineRule="auto"/>
                    <w:contextualSpacing/>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2017 metai</w:t>
                  </w:r>
                </w:p>
              </w:tc>
              <w:tc>
                <w:tcPr>
                  <w:tcW w:w="912" w:type="dxa"/>
                  <w:shd w:val="clear" w:color="auto" w:fill="auto"/>
                </w:tcPr>
                <w:p w14:paraId="7329648B" w14:textId="77777777" w:rsidR="008D528F" w:rsidRPr="008D528F" w:rsidRDefault="008D528F" w:rsidP="008D528F">
                  <w:pPr>
                    <w:spacing w:after="0" w:line="240" w:lineRule="auto"/>
                    <w:contextualSpacing/>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2018 metai</w:t>
                  </w:r>
                </w:p>
              </w:tc>
              <w:tc>
                <w:tcPr>
                  <w:tcW w:w="913" w:type="dxa"/>
                  <w:shd w:val="clear" w:color="auto" w:fill="auto"/>
                </w:tcPr>
                <w:p w14:paraId="7329648C" w14:textId="77777777" w:rsidR="008D528F" w:rsidRPr="008D528F" w:rsidRDefault="008D528F" w:rsidP="008D528F">
                  <w:pPr>
                    <w:spacing w:after="0" w:line="240" w:lineRule="auto"/>
                    <w:contextualSpacing/>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2019 metai</w:t>
                  </w:r>
                </w:p>
              </w:tc>
              <w:tc>
                <w:tcPr>
                  <w:tcW w:w="912" w:type="dxa"/>
                  <w:shd w:val="clear" w:color="auto" w:fill="auto"/>
                </w:tcPr>
                <w:p w14:paraId="7329648D" w14:textId="77777777" w:rsidR="008D528F" w:rsidRPr="008D528F" w:rsidRDefault="008D528F" w:rsidP="008D528F">
                  <w:pPr>
                    <w:spacing w:after="0" w:line="240" w:lineRule="auto"/>
                    <w:contextualSpacing/>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2020 metai</w:t>
                  </w:r>
                </w:p>
              </w:tc>
              <w:tc>
                <w:tcPr>
                  <w:tcW w:w="912" w:type="dxa"/>
                  <w:shd w:val="clear" w:color="auto" w:fill="auto"/>
                </w:tcPr>
                <w:p w14:paraId="7329648E" w14:textId="77777777" w:rsidR="008D528F" w:rsidRPr="008D528F" w:rsidRDefault="008D528F" w:rsidP="008D528F">
                  <w:pPr>
                    <w:spacing w:after="0" w:line="240" w:lineRule="auto"/>
                    <w:contextualSpacing/>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2021 metai</w:t>
                  </w:r>
                </w:p>
              </w:tc>
              <w:tc>
                <w:tcPr>
                  <w:tcW w:w="1203" w:type="dxa"/>
                  <w:shd w:val="clear" w:color="auto" w:fill="auto"/>
                </w:tcPr>
                <w:p w14:paraId="7329648F" w14:textId="77777777" w:rsidR="008D528F" w:rsidRPr="008D528F" w:rsidRDefault="008D528F" w:rsidP="008D528F">
                  <w:pPr>
                    <w:spacing w:after="0" w:line="240" w:lineRule="auto"/>
                    <w:contextualSpacing/>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Visai programai (suma)</w:t>
                  </w:r>
                </w:p>
              </w:tc>
            </w:tr>
            <w:tr w:rsidR="008D528F" w:rsidRPr="008D528F" w14:paraId="7329649F" w14:textId="77777777" w:rsidTr="00444D77">
              <w:tc>
                <w:tcPr>
                  <w:tcW w:w="582" w:type="dxa"/>
                  <w:shd w:val="clear" w:color="auto" w:fill="auto"/>
                </w:tcPr>
                <w:p w14:paraId="73296491" w14:textId="77777777" w:rsidR="008D528F" w:rsidRPr="008D528F" w:rsidRDefault="008D528F" w:rsidP="008D528F">
                  <w:pPr>
                    <w:spacing w:after="0" w:line="240" w:lineRule="auto"/>
                    <w:contextualSpacing/>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1.</w:t>
                  </w:r>
                </w:p>
              </w:tc>
              <w:tc>
                <w:tcPr>
                  <w:tcW w:w="3241" w:type="dxa"/>
                  <w:shd w:val="clear" w:color="auto" w:fill="auto"/>
                </w:tcPr>
                <w:p w14:paraId="73296492" w14:textId="77777777" w:rsidR="008D528F" w:rsidRPr="008D528F" w:rsidRDefault="008D528F" w:rsidP="008D528F">
                  <w:pPr>
                    <w:spacing w:after="0" w:line="240" w:lineRule="auto"/>
                    <w:contextualSpacing/>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Programai skirti norminiai etatai, lėšos</w:t>
                  </w:r>
                </w:p>
              </w:tc>
              <w:tc>
                <w:tcPr>
                  <w:tcW w:w="912" w:type="dxa"/>
                  <w:shd w:val="clear" w:color="auto" w:fill="auto"/>
                </w:tcPr>
                <w:p w14:paraId="73296493"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6,2</w:t>
                  </w:r>
                </w:p>
                <w:p w14:paraId="73296494"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59,3</w:t>
                  </w:r>
                </w:p>
              </w:tc>
              <w:tc>
                <w:tcPr>
                  <w:tcW w:w="912" w:type="dxa"/>
                  <w:shd w:val="clear" w:color="auto" w:fill="auto"/>
                </w:tcPr>
                <w:p w14:paraId="73296495" w14:textId="77777777" w:rsidR="008D528F" w:rsidRPr="008D528F" w:rsidRDefault="008D528F" w:rsidP="008D528F">
                  <w:pPr>
                    <w:spacing w:after="0" w:line="240" w:lineRule="auto"/>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6,2</w:t>
                  </w:r>
                </w:p>
                <w:p w14:paraId="73296496" w14:textId="77777777" w:rsidR="008D528F" w:rsidRPr="008D528F" w:rsidRDefault="008D528F" w:rsidP="008D528F">
                  <w:pPr>
                    <w:spacing w:after="0" w:line="240" w:lineRule="auto"/>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59,3</w:t>
                  </w:r>
                </w:p>
              </w:tc>
              <w:tc>
                <w:tcPr>
                  <w:tcW w:w="913" w:type="dxa"/>
                  <w:shd w:val="clear" w:color="auto" w:fill="auto"/>
                </w:tcPr>
                <w:p w14:paraId="73296497" w14:textId="77777777" w:rsidR="008D528F" w:rsidRPr="008D528F" w:rsidRDefault="008D528F" w:rsidP="008D528F">
                  <w:pPr>
                    <w:spacing w:after="0" w:line="240" w:lineRule="auto"/>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6,2</w:t>
                  </w:r>
                </w:p>
                <w:p w14:paraId="73296498" w14:textId="77777777" w:rsidR="008D528F" w:rsidRPr="008D528F" w:rsidRDefault="008D528F" w:rsidP="008D528F">
                  <w:pPr>
                    <w:spacing w:after="0" w:line="240" w:lineRule="auto"/>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59,3</w:t>
                  </w:r>
                </w:p>
              </w:tc>
              <w:tc>
                <w:tcPr>
                  <w:tcW w:w="912" w:type="dxa"/>
                  <w:shd w:val="clear" w:color="auto" w:fill="auto"/>
                </w:tcPr>
                <w:p w14:paraId="73296499" w14:textId="77777777" w:rsidR="008D528F" w:rsidRPr="008D528F" w:rsidRDefault="008D528F" w:rsidP="008D528F">
                  <w:pPr>
                    <w:spacing w:after="0" w:line="240" w:lineRule="auto"/>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6,2</w:t>
                  </w:r>
                </w:p>
                <w:p w14:paraId="7329649A" w14:textId="77777777" w:rsidR="008D528F" w:rsidRPr="008D528F" w:rsidRDefault="008D528F" w:rsidP="008D528F">
                  <w:pPr>
                    <w:spacing w:after="0" w:line="240" w:lineRule="auto"/>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59,3</w:t>
                  </w:r>
                </w:p>
              </w:tc>
              <w:tc>
                <w:tcPr>
                  <w:tcW w:w="912" w:type="dxa"/>
                  <w:shd w:val="clear" w:color="auto" w:fill="auto"/>
                </w:tcPr>
                <w:p w14:paraId="7329649B" w14:textId="77777777" w:rsidR="008D528F" w:rsidRPr="008D528F" w:rsidRDefault="008D528F" w:rsidP="008D528F">
                  <w:pPr>
                    <w:spacing w:after="0" w:line="240" w:lineRule="auto"/>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6,2</w:t>
                  </w:r>
                </w:p>
                <w:p w14:paraId="7329649C" w14:textId="77777777" w:rsidR="008D528F" w:rsidRPr="008D528F" w:rsidRDefault="008D528F" w:rsidP="008D528F">
                  <w:pPr>
                    <w:spacing w:after="0" w:line="240" w:lineRule="auto"/>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59,3</w:t>
                  </w:r>
                </w:p>
              </w:tc>
              <w:tc>
                <w:tcPr>
                  <w:tcW w:w="1203" w:type="dxa"/>
                  <w:shd w:val="clear" w:color="auto" w:fill="auto"/>
                </w:tcPr>
                <w:p w14:paraId="7329649D"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p>
                <w:p w14:paraId="7329649E"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296,5</w:t>
                  </w:r>
                </w:p>
              </w:tc>
            </w:tr>
            <w:tr w:rsidR="008D528F" w:rsidRPr="008D528F" w14:paraId="732964A9" w14:textId="77777777" w:rsidTr="00444D77">
              <w:tc>
                <w:tcPr>
                  <w:tcW w:w="582" w:type="dxa"/>
                  <w:shd w:val="clear" w:color="auto" w:fill="auto"/>
                </w:tcPr>
                <w:p w14:paraId="732964A0" w14:textId="77777777" w:rsidR="008D528F" w:rsidRPr="008D528F" w:rsidRDefault="008D528F" w:rsidP="008D528F">
                  <w:pPr>
                    <w:spacing w:after="0" w:line="240" w:lineRule="auto"/>
                    <w:contextualSpacing/>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w:t>
                  </w:r>
                </w:p>
              </w:tc>
              <w:tc>
                <w:tcPr>
                  <w:tcW w:w="3241" w:type="dxa"/>
                  <w:shd w:val="clear" w:color="auto" w:fill="auto"/>
                </w:tcPr>
                <w:p w14:paraId="732964A1" w14:textId="77777777" w:rsidR="008D528F" w:rsidRPr="008D528F" w:rsidRDefault="008D528F" w:rsidP="008D528F">
                  <w:pPr>
                    <w:spacing w:after="0" w:line="240" w:lineRule="auto"/>
                    <w:contextualSpacing/>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Kitos lėšos planuojamos programai vykdyti (iš kitų, Institutui skirtų Valstybės biudžeto bazinio</w:t>
                  </w:r>
                </w:p>
                <w:p w14:paraId="732964A2" w14:textId="77777777" w:rsidR="008D528F" w:rsidRPr="008D528F" w:rsidRDefault="008D528F" w:rsidP="008D528F">
                  <w:pPr>
                    <w:spacing w:after="0" w:line="240" w:lineRule="auto"/>
                    <w:contextualSpacing/>
                    <w:jc w:val="both"/>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 xml:space="preserve"> finansavimo lėšų)</w:t>
                  </w:r>
                </w:p>
              </w:tc>
              <w:tc>
                <w:tcPr>
                  <w:tcW w:w="912" w:type="dxa"/>
                  <w:shd w:val="clear" w:color="auto" w:fill="auto"/>
                </w:tcPr>
                <w:p w14:paraId="732964A3"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24,5</w:t>
                  </w:r>
                </w:p>
              </w:tc>
              <w:tc>
                <w:tcPr>
                  <w:tcW w:w="912" w:type="dxa"/>
                  <w:shd w:val="clear" w:color="auto" w:fill="auto"/>
                </w:tcPr>
                <w:p w14:paraId="732964A4"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24,5</w:t>
                  </w:r>
                </w:p>
              </w:tc>
              <w:tc>
                <w:tcPr>
                  <w:tcW w:w="913" w:type="dxa"/>
                  <w:shd w:val="clear" w:color="auto" w:fill="auto"/>
                </w:tcPr>
                <w:p w14:paraId="732964A5"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24,5</w:t>
                  </w:r>
                </w:p>
              </w:tc>
              <w:tc>
                <w:tcPr>
                  <w:tcW w:w="912" w:type="dxa"/>
                  <w:shd w:val="clear" w:color="auto" w:fill="auto"/>
                </w:tcPr>
                <w:p w14:paraId="732964A6"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24,5</w:t>
                  </w:r>
                </w:p>
              </w:tc>
              <w:tc>
                <w:tcPr>
                  <w:tcW w:w="912" w:type="dxa"/>
                  <w:shd w:val="clear" w:color="auto" w:fill="auto"/>
                </w:tcPr>
                <w:p w14:paraId="732964A7"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24,5</w:t>
                  </w:r>
                </w:p>
              </w:tc>
              <w:tc>
                <w:tcPr>
                  <w:tcW w:w="1203" w:type="dxa"/>
                  <w:shd w:val="clear" w:color="auto" w:fill="auto"/>
                </w:tcPr>
                <w:p w14:paraId="732964A8"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122,5</w:t>
                  </w:r>
                </w:p>
              </w:tc>
            </w:tr>
            <w:tr w:rsidR="008D528F" w:rsidRPr="008D528F" w14:paraId="732964B2" w14:textId="77777777" w:rsidTr="00444D77">
              <w:tc>
                <w:tcPr>
                  <w:tcW w:w="582" w:type="dxa"/>
                  <w:shd w:val="clear" w:color="auto" w:fill="auto"/>
                </w:tcPr>
                <w:p w14:paraId="732964AA" w14:textId="77777777" w:rsidR="008D528F" w:rsidRPr="008D528F" w:rsidRDefault="008D528F" w:rsidP="008D528F">
                  <w:pPr>
                    <w:spacing w:after="0" w:line="240" w:lineRule="auto"/>
                    <w:contextualSpacing/>
                    <w:jc w:val="both"/>
                    <w:rPr>
                      <w:rFonts w:ascii="Times New Roman" w:eastAsia="Times New Roman" w:hAnsi="Times New Roman" w:cs="Times New Roman"/>
                      <w:lang w:eastAsia="lt-LT"/>
                    </w:rPr>
                  </w:pPr>
                </w:p>
              </w:tc>
              <w:tc>
                <w:tcPr>
                  <w:tcW w:w="3241" w:type="dxa"/>
                  <w:shd w:val="clear" w:color="auto" w:fill="auto"/>
                </w:tcPr>
                <w:p w14:paraId="732964AB" w14:textId="77777777" w:rsidR="008D528F" w:rsidRPr="008D528F" w:rsidRDefault="008D528F" w:rsidP="008D528F">
                  <w:pPr>
                    <w:spacing w:after="0" w:line="240" w:lineRule="auto"/>
                    <w:contextualSpacing/>
                    <w:jc w:val="right"/>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Iš viso:</w:t>
                  </w:r>
                </w:p>
              </w:tc>
              <w:tc>
                <w:tcPr>
                  <w:tcW w:w="912" w:type="dxa"/>
                  <w:shd w:val="clear" w:color="auto" w:fill="auto"/>
                </w:tcPr>
                <w:p w14:paraId="732964AC"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83,8</w:t>
                  </w:r>
                </w:p>
              </w:tc>
              <w:tc>
                <w:tcPr>
                  <w:tcW w:w="912" w:type="dxa"/>
                  <w:shd w:val="clear" w:color="auto" w:fill="auto"/>
                </w:tcPr>
                <w:p w14:paraId="732964AD"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83,8</w:t>
                  </w:r>
                </w:p>
              </w:tc>
              <w:tc>
                <w:tcPr>
                  <w:tcW w:w="913" w:type="dxa"/>
                  <w:shd w:val="clear" w:color="auto" w:fill="auto"/>
                </w:tcPr>
                <w:p w14:paraId="732964AE"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83,8</w:t>
                  </w:r>
                </w:p>
              </w:tc>
              <w:tc>
                <w:tcPr>
                  <w:tcW w:w="912" w:type="dxa"/>
                  <w:shd w:val="clear" w:color="auto" w:fill="auto"/>
                </w:tcPr>
                <w:p w14:paraId="732964AF"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83,8</w:t>
                  </w:r>
                </w:p>
              </w:tc>
              <w:tc>
                <w:tcPr>
                  <w:tcW w:w="912" w:type="dxa"/>
                  <w:shd w:val="clear" w:color="auto" w:fill="auto"/>
                </w:tcPr>
                <w:p w14:paraId="732964B0" w14:textId="77777777" w:rsidR="008D528F" w:rsidRPr="008D528F" w:rsidRDefault="008D528F" w:rsidP="008D528F">
                  <w:pPr>
                    <w:jc w:val="center"/>
                    <w:rPr>
                      <w:rFonts w:ascii="Times New Roman" w:eastAsia="Calibri" w:hAnsi="Times New Roman" w:cs="Times New Roman"/>
                    </w:rPr>
                  </w:pPr>
                  <w:r w:rsidRPr="008D528F">
                    <w:rPr>
                      <w:rFonts w:ascii="Times New Roman" w:eastAsia="Times New Roman" w:hAnsi="Times New Roman" w:cs="Times New Roman"/>
                      <w:lang w:eastAsia="lt-LT"/>
                    </w:rPr>
                    <w:t>83,8</w:t>
                  </w:r>
                </w:p>
              </w:tc>
              <w:tc>
                <w:tcPr>
                  <w:tcW w:w="1203" w:type="dxa"/>
                  <w:shd w:val="clear" w:color="auto" w:fill="auto"/>
                </w:tcPr>
                <w:p w14:paraId="732964B1" w14:textId="77777777" w:rsidR="008D528F" w:rsidRPr="008D528F" w:rsidRDefault="008D528F" w:rsidP="008D528F">
                  <w:pPr>
                    <w:spacing w:after="0" w:line="240" w:lineRule="auto"/>
                    <w:jc w:val="center"/>
                    <w:rPr>
                      <w:rFonts w:ascii="Times New Roman" w:eastAsia="Times New Roman" w:hAnsi="Times New Roman" w:cs="Times New Roman"/>
                      <w:lang w:eastAsia="lt-LT"/>
                    </w:rPr>
                  </w:pPr>
                  <w:r w:rsidRPr="008D528F">
                    <w:rPr>
                      <w:rFonts w:ascii="Times New Roman" w:eastAsia="Times New Roman" w:hAnsi="Times New Roman" w:cs="Times New Roman"/>
                      <w:lang w:eastAsia="lt-LT"/>
                    </w:rPr>
                    <w:t>419,0</w:t>
                  </w:r>
                </w:p>
              </w:tc>
            </w:tr>
          </w:tbl>
          <w:p w14:paraId="732964B3" w14:textId="77777777" w:rsidR="008D528F" w:rsidRPr="008D528F" w:rsidRDefault="008D528F" w:rsidP="008D528F">
            <w:pPr>
              <w:spacing w:after="0" w:line="240" w:lineRule="auto"/>
              <w:ind w:left="720"/>
              <w:contextualSpacing/>
              <w:jc w:val="both"/>
              <w:rPr>
                <w:rFonts w:ascii="Times New Roman" w:eastAsia="Times New Roman" w:hAnsi="Times New Roman" w:cs="Times New Roman"/>
                <w:b/>
                <w:sz w:val="24"/>
                <w:szCs w:val="24"/>
                <w:lang w:eastAsia="lt-LT"/>
              </w:rPr>
            </w:pPr>
          </w:p>
        </w:tc>
      </w:tr>
      <w:tr w:rsidR="008D528F" w:rsidRPr="008D528F" w14:paraId="732964B6" w14:textId="77777777" w:rsidTr="00444D77">
        <w:tc>
          <w:tcPr>
            <w:tcW w:w="9816" w:type="dxa"/>
            <w:shd w:val="clear" w:color="auto" w:fill="auto"/>
          </w:tcPr>
          <w:p w14:paraId="732964B5" w14:textId="77777777" w:rsidR="008D528F" w:rsidRPr="008D528F" w:rsidRDefault="008D528F" w:rsidP="008D528F">
            <w:pPr>
              <w:spacing w:after="0" w:line="240" w:lineRule="auto"/>
              <w:jc w:val="both"/>
              <w:rPr>
                <w:rFonts w:ascii="Times New Roman" w:eastAsia="Times New Roman" w:hAnsi="Times New Roman" w:cs="Times New Roman"/>
                <w:b/>
                <w:sz w:val="24"/>
                <w:szCs w:val="24"/>
                <w:lang w:eastAsia="lt-LT"/>
              </w:rPr>
            </w:pPr>
            <w:r w:rsidRPr="008D528F">
              <w:rPr>
                <w:rFonts w:ascii="Times New Roman" w:eastAsia="Times New Roman" w:hAnsi="Times New Roman" w:cs="Times New Roman"/>
                <w:b/>
                <w:sz w:val="24"/>
                <w:szCs w:val="24"/>
                <w:lang w:eastAsia="lt-LT"/>
              </w:rPr>
              <w:t xml:space="preserve">    9. Programos trukmė: </w:t>
            </w:r>
            <w:r w:rsidRPr="008D528F">
              <w:rPr>
                <w:rFonts w:ascii="Times New Roman" w:eastAsia="Times New Roman" w:hAnsi="Times New Roman" w:cs="Times New Roman"/>
                <w:sz w:val="24"/>
                <w:szCs w:val="24"/>
                <w:lang w:eastAsia="lt-LT"/>
              </w:rPr>
              <w:t>2017-2021 metai</w:t>
            </w:r>
          </w:p>
        </w:tc>
      </w:tr>
      <w:tr w:rsidR="008D528F" w:rsidRPr="008D528F" w14:paraId="732964BA" w14:textId="77777777" w:rsidTr="00444D77">
        <w:tc>
          <w:tcPr>
            <w:tcW w:w="9816" w:type="dxa"/>
            <w:shd w:val="clear" w:color="auto" w:fill="auto"/>
          </w:tcPr>
          <w:p w14:paraId="732964B7"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b/>
                <w:sz w:val="24"/>
                <w:szCs w:val="24"/>
                <w:lang w:eastAsia="lt-LT"/>
              </w:rPr>
              <w:t xml:space="preserve">    10. Programos vadovai:</w:t>
            </w:r>
          </w:p>
          <w:p w14:paraId="732964B8" w14:textId="77777777" w:rsidR="008D528F" w:rsidRPr="008D528F" w:rsidRDefault="008D528F" w:rsidP="008D528F">
            <w:pPr>
              <w:spacing w:after="0" w:line="240" w:lineRule="auto"/>
              <w:ind w:left="29"/>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Prof. Ričardas </w:t>
            </w:r>
            <w:proofErr w:type="spellStart"/>
            <w:r w:rsidRPr="008D528F">
              <w:rPr>
                <w:rFonts w:ascii="Times New Roman" w:eastAsia="Times New Roman" w:hAnsi="Times New Roman" w:cs="Times New Roman"/>
                <w:sz w:val="24"/>
                <w:szCs w:val="24"/>
                <w:lang w:eastAsia="lt-LT"/>
              </w:rPr>
              <w:t>Rotomskis</w:t>
            </w:r>
            <w:proofErr w:type="spellEnd"/>
            <w:r w:rsidRPr="008D528F">
              <w:rPr>
                <w:rFonts w:ascii="Times New Roman" w:eastAsia="Times New Roman" w:hAnsi="Times New Roman" w:cs="Times New Roman"/>
                <w:sz w:val="24"/>
                <w:szCs w:val="24"/>
                <w:lang w:eastAsia="lt-LT"/>
              </w:rPr>
              <w:t xml:space="preserve">, Biomedicininės fizikos laboratorijos vedėjas, vyriausias mokslo darbuotojas, tel.: (8 5) 2190908, </w:t>
            </w:r>
            <w:proofErr w:type="spellStart"/>
            <w:r w:rsidRPr="008D528F">
              <w:rPr>
                <w:rFonts w:ascii="Times New Roman" w:eastAsia="Times New Roman" w:hAnsi="Times New Roman" w:cs="Times New Roman"/>
                <w:sz w:val="24"/>
                <w:szCs w:val="24"/>
                <w:lang w:eastAsia="lt-LT"/>
              </w:rPr>
              <w:t>el.p</w:t>
            </w:r>
            <w:proofErr w:type="spellEnd"/>
            <w:r w:rsidRPr="008D528F">
              <w:rPr>
                <w:rFonts w:ascii="Times New Roman" w:eastAsia="Times New Roman" w:hAnsi="Times New Roman" w:cs="Times New Roman"/>
                <w:sz w:val="24"/>
                <w:szCs w:val="24"/>
                <w:lang w:eastAsia="lt-LT"/>
              </w:rPr>
              <w:t xml:space="preserve">.: </w:t>
            </w:r>
            <w:hyperlink r:id="rId14" w:history="1">
              <w:r w:rsidRPr="008D528F">
                <w:rPr>
                  <w:rFonts w:ascii="Times New Roman" w:eastAsia="Times New Roman" w:hAnsi="Times New Roman" w:cs="Times New Roman"/>
                  <w:color w:val="0563C1"/>
                  <w:sz w:val="24"/>
                  <w:szCs w:val="24"/>
                  <w:u w:val="single"/>
                  <w:lang w:eastAsia="lt-LT"/>
                </w:rPr>
                <w:t>ricardas.rotomskis@nvi.lt</w:t>
              </w:r>
            </w:hyperlink>
          </w:p>
          <w:p w14:paraId="732964B9" w14:textId="77777777" w:rsidR="008D528F" w:rsidRPr="008D528F" w:rsidRDefault="008D528F" w:rsidP="008D528F">
            <w:pPr>
              <w:spacing w:after="0" w:line="240" w:lineRule="auto"/>
              <w:jc w:val="both"/>
              <w:rPr>
                <w:rFonts w:ascii="Times New Roman" w:eastAsia="Times New Roman" w:hAnsi="Times New Roman" w:cs="Times New Roman"/>
                <w:sz w:val="24"/>
                <w:szCs w:val="24"/>
                <w:lang w:eastAsia="lt-LT"/>
              </w:rPr>
            </w:pPr>
            <w:r w:rsidRPr="008D528F">
              <w:rPr>
                <w:rFonts w:ascii="Times New Roman" w:eastAsia="Times New Roman" w:hAnsi="Times New Roman" w:cs="Times New Roman"/>
                <w:sz w:val="24"/>
                <w:szCs w:val="24"/>
                <w:lang w:eastAsia="lt-LT"/>
              </w:rPr>
              <w:t xml:space="preserve">Doc. dr. Simona R. </w:t>
            </w:r>
            <w:proofErr w:type="spellStart"/>
            <w:r w:rsidRPr="008D528F">
              <w:rPr>
                <w:rFonts w:ascii="Times New Roman" w:eastAsia="Times New Roman" w:hAnsi="Times New Roman" w:cs="Times New Roman"/>
                <w:sz w:val="24"/>
                <w:szCs w:val="24"/>
                <w:lang w:eastAsia="lt-LT"/>
              </w:rPr>
              <w:t>Letautienė</w:t>
            </w:r>
            <w:proofErr w:type="spellEnd"/>
            <w:r w:rsidRPr="008D528F">
              <w:rPr>
                <w:rFonts w:ascii="Times New Roman" w:eastAsia="Times New Roman" w:hAnsi="Times New Roman" w:cs="Times New Roman"/>
                <w:sz w:val="24"/>
                <w:szCs w:val="24"/>
                <w:lang w:eastAsia="lt-LT"/>
              </w:rPr>
              <w:t xml:space="preserve">, Radiologijos skyriaus konsultantė-gydytoja </w:t>
            </w:r>
            <w:proofErr w:type="spellStart"/>
            <w:r w:rsidRPr="008D528F">
              <w:rPr>
                <w:rFonts w:ascii="Times New Roman" w:eastAsia="Times New Roman" w:hAnsi="Times New Roman" w:cs="Times New Roman"/>
                <w:sz w:val="24"/>
                <w:szCs w:val="24"/>
                <w:lang w:eastAsia="lt-LT"/>
              </w:rPr>
              <w:t>radiologė</w:t>
            </w:r>
            <w:proofErr w:type="spellEnd"/>
            <w:r w:rsidRPr="008D528F">
              <w:rPr>
                <w:rFonts w:ascii="Times New Roman" w:eastAsia="Times New Roman" w:hAnsi="Times New Roman" w:cs="Times New Roman"/>
                <w:sz w:val="24"/>
                <w:szCs w:val="24"/>
                <w:lang w:eastAsia="lt-LT"/>
              </w:rPr>
              <w:t xml:space="preserve">, tel.: (8 5) 2190972; </w:t>
            </w:r>
            <w:proofErr w:type="spellStart"/>
            <w:r w:rsidRPr="008D528F">
              <w:rPr>
                <w:rFonts w:ascii="Times New Roman" w:eastAsia="Times New Roman" w:hAnsi="Times New Roman" w:cs="Times New Roman"/>
                <w:sz w:val="24"/>
                <w:szCs w:val="24"/>
                <w:lang w:eastAsia="lt-LT"/>
              </w:rPr>
              <w:t>el.p</w:t>
            </w:r>
            <w:proofErr w:type="spellEnd"/>
            <w:r w:rsidRPr="008D528F">
              <w:rPr>
                <w:rFonts w:ascii="Times New Roman" w:eastAsia="Times New Roman" w:hAnsi="Times New Roman" w:cs="Times New Roman"/>
                <w:sz w:val="24"/>
                <w:szCs w:val="24"/>
                <w:lang w:eastAsia="lt-LT"/>
              </w:rPr>
              <w:t xml:space="preserve">.: </w:t>
            </w:r>
            <w:hyperlink r:id="rId15" w:history="1">
              <w:r w:rsidRPr="008D528F">
                <w:rPr>
                  <w:rFonts w:ascii="Times New Roman" w:eastAsia="Times New Roman" w:hAnsi="Times New Roman" w:cs="Times New Roman"/>
                  <w:color w:val="0563C1"/>
                  <w:sz w:val="24"/>
                  <w:szCs w:val="24"/>
                  <w:u w:val="single"/>
                  <w:lang w:eastAsia="lt-LT"/>
                </w:rPr>
                <w:t>simona.letautiene@nvi.lt</w:t>
              </w:r>
            </w:hyperlink>
          </w:p>
        </w:tc>
      </w:tr>
    </w:tbl>
    <w:p w14:paraId="732964BB" w14:textId="77777777" w:rsidR="008D528F" w:rsidRPr="008D528F" w:rsidRDefault="008D528F" w:rsidP="008D528F">
      <w:pPr>
        <w:spacing w:after="0" w:line="240" w:lineRule="auto"/>
        <w:jc w:val="center"/>
        <w:rPr>
          <w:rFonts w:ascii="Times New Roman" w:eastAsia="Calibri" w:hAnsi="Times New Roman" w:cs="Times New Roman"/>
          <w:b/>
          <w:sz w:val="24"/>
          <w:szCs w:val="24"/>
        </w:rPr>
      </w:pPr>
      <w:r w:rsidRPr="008D528F">
        <w:rPr>
          <w:rFonts w:ascii="Times New Roman" w:eastAsia="Calibri" w:hAnsi="Times New Roman" w:cs="Times New Roman"/>
          <w:b/>
          <w:sz w:val="24"/>
          <w:szCs w:val="24"/>
        </w:rPr>
        <w:t>___________________</w:t>
      </w:r>
    </w:p>
    <w:p w14:paraId="732964BC" w14:textId="77777777" w:rsidR="00EF627F" w:rsidRDefault="00EF627F" w:rsidP="0015377B">
      <w:pPr>
        <w:tabs>
          <w:tab w:val="left" w:pos="1134"/>
        </w:tabs>
        <w:spacing w:after="0" w:line="240" w:lineRule="auto"/>
        <w:ind w:firstLine="851"/>
        <w:jc w:val="center"/>
        <w:rPr>
          <w:rFonts w:ascii="Times New Roman" w:eastAsia="Times New Roman" w:hAnsi="Times New Roman" w:cs="Times New Roman"/>
          <w:sz w:val="24"/>
          <w:szCs w:val="24"/>
          <w:lang w:eastAsia="lt-LT"/>
        </w:rPr>
        <w:sectPr w:rsidR="00EF627F" w:rsidSect="008D528F">
          <w:headerReference w:type="default" r:id="rId16"/>
          <w:pgSz w:w="11906" w:h="16838"/>
          <w:pgMar w:top="851" w:right="567" w:bottom="1134" w:left="1701" w:header="567" w:footer="567" w:gutter="0"/>
          <w:pgNumType w:start="1"/>
          <w:cols w:space="1296"/>
          <w:titlePg/>
          <w:docGrid w:linePitch="360"/>
        </w:sectPr>
      </w:pPr>
    </w:p>
    <w:p w14:paraId="0A50D9BA"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lastRenderedPageBreak/>
        <w:t>PATVIRTINTA</w:t>
      </w:r>
    </w:p>
    <w:p w14:paraId="5ABD59A9"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Lietuvos Respublikos švietimo ir mokslo</w:t>
      </w:r>
    </w:p>
    <w:p w14:paraId="2D257EDD"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ministro 2017 m. balandžio 24 d.</w:t>
      </w:r>
    </w:p>
    <w:p w14:paraId="1280AF4B" w14:textId="77777777" w:rsidR="003F6404" w:rsidRDefault="003F6404" w:rsidP="003F6404">
      <w:pPr>
        <w:pStyle w:val="Betarp"/>
        <w:ind w:left="5040" w:firstLine="63"/>
        <w:rPr>
          <w:rFonts w:ascii="Times New Roman" w:hAnsi="Times New Roman"/>
          <w:sz w:val="24"/>
          <w:szCs w:val="24"/>
        </w:rPr>
      </w:pPr>
      <w:r>
        <w:rPr>
          <w:rFonts w:ascii="Times New Roman" w:hAnsi="Times New Roman"/>
          <w:sz w:val="24"/>
          <w:szCs w:val="24"/>
        </w:rPr>
        <w:t>įsakymu Nr. V-273</w:t>
      </w:r>
    </w:p>
    <w:p w14:paraId="732964C0" w14:textId="77777777" w:rsidR="00EF627F" w:rsidRPr="00EF627F" w:rsidRDefault="00EF627F" w:rsidP="00EF627F">
      <w:pPr>
        <w:spacing w:after="0" w:line="240" w:lineRule="auto"/>
        <w:rPr>
          <w:rFonts w:ascii="Times New Roman" w:eastAsia="Calibri" w:hAnsi="Times New Roman" w:cs="Times New Roman"/>
          <w:b/>
          <w:sz w:val="24"/>
          <w:szCs w:val="24"/>
        </w:rPr>
      </w:pPr>
      <w:bookmarkStart w:id="0" w:name="_GoBack"/>
      <w:bookmarkEnd w:id="0"/>
    </w:p>
    <w:p w14:paraId="732964C1" w14:textId="77777777" w:rsidR="00EF627F" w:rsidRPr="00EF627F" w:rsidRDefault="00EF627F" w:rsidP="00EF627F">
      <w:pPr>
        <w:spacing w:after="0" w:line="240" w:lineRule="auto"/>
        <w:rPr>
          <w:rFonts w:ascii="Times New Roman" w:eastAsia="Calibri" w:hAnsi="Times New Roman" w:cs="Times New Roman"/>
          <w:b/>
          <w:sz w:val="24"/>
          <w:szCs w:val="24"/>
        </w:rPr>
      </w:pPr>
      <w:r w:rsidRPr="00EF627F">
        <w:rPr>
          <w:rFonts w:ascii="Times New Roman" w:eastAsia="Calibri" w:hAnsi="Times New Roman" w:cs="Times New Roman"/>
          <w:b/>
          <w:sz w:val="24"/>
          <w:szCs w:val="24"/>
        </w:rPr>
        <w:t>PIKTYBINIŲ NAVIKŲ INDIVIDUALIZUOTO GYDYMO TECHNOLOGIJŲ PLĖTRA</w:t>
      </w:r>
    </w:p>
    <w:p w14:paraId="732964C2" w14:textId="77777777" w:rsidR="00EF627F" w:rsidRPr="00EF627F" w:rsidRDefault="00EF627F" w:rsidP="00EF627F">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EF627F" w:rsidRPr="00EF627F" w14:paraId="732964C6" w14:textId="77777777" w:rsidTr="00444D77">
        <w:tc>
          <w:tcPr>
            <w:tcW w:w="9749" w:type="dxa"/>
            <w:shd w:val="clear" w:color="auto" w:fill="auto"/>
          </w:tcPr>
          <w:p w14:paraId="732964C3" w14:textId="77777777" w:rsidR="00EF627F" w:rsidRPr="00EF627F" w:rsidRDefault="00EF627F" w:rsidP="00EF627F">
            <w:pPr>
              <w:tabs>
                <w:tab w:val="left" w:pos="284"/>
              </w:tabs>
              <w:spacing w:after="0" w:line="240" w:lineRule="auto"/>
              <w:contextualSpacing/>
              <w:jc w:val="both"/>
              <w:rPr>
                <w:rFonts w:ascii="Times New Roman" w:eastAsia="Calibri" w:hAnsi="Times New Roman" w:cs="Times New Roman"/>
                <w:sz w:val="24"/>
                <w:szCs w:val="24"/>
              </w:rPr>
            </w:pPr>
            <w:r w:rsidRPr="00EF627F">
              <w:rPr>
                <w:rFonts w:ascii="Times New Roman" w:eastAsia="Times New Roman" w:hAnsi="Times New Roman" w:cs="Times New Roman"/>
                <w:b/>
                <w:sz w:val="24"/>
                <w:szCs w:val="24"/>
                <w:lang w:eastAsia="lt-LT"/>
              </w:rPr>
              <w:t xml:space="preserve">    1. Programos vykdytojas – </w:t>
            </w:r>
            <w:r w:rsidRPr="00EF627F">
              <w:rPr>
                <w:rFonts w:ascii="Times New Roman" w:eastAsia="Times New Roman" w:hAnsi="Times New Roman" w:cs="Times New Roman"/>
                <w:sz w:val="24"/>
                <w:szCs w:val="24"/>
                <w:lang w:eastAsia="lt-LT"/>
              </w:rPr>
              <w:t>Nacionalinis vėžio institutas (toliau – NVI).</w:t>
            </w:r>
          </w:p>
          <w:p w14:paraId="732964C4" w14:textId="77777777" w:rsidR="00EF627F" w:rsidRPr="00EF627F" w:rsidRDefault="00EF627F" w:rsidP="00EF627F">
            <w:pPr>
              <w:tabs>
                <w:tab w:val="left" w:pos="284"/>
              </w:tabs>
              <w:spacing w:after="0" w:line="240" w:lineRule="auto"/>
              <w:contextualSpacing/>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Norminiai etatai skirti programai – 6,22.</w:t>
            </w:r>
          </w:p>
          <w:p w14:paraId="732964C5" w14:textId="77777777" w:rsidR="00EF627F" w:rsidRPr="00EF627F" w:rsidRDefault="00EF627F" w:rsidP="00EF627F">
            <w:pPr>
              <w:tabs>
                <w:tab w:val="left" w:pos="284"/>
              </w:tabs>
              <w:spacing w:after="0" w:line="240" w:lineRule="auto"/>
              <w:contextualSpacing/>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b/>
                <w:sz w:val="24"/>
                <w:szCs w:val="24"/>
                <w:lang w:eastAsia="lt-LT"/>
              </w:rPr>
              <w:t xml:space="preserve">    2. Programos tikslas – </w:t>
            </w:r>
            <w:r w:rsidRPr="00EF627F">
              <w:rPr>
                <w:rFonts w:ascii="Times New Roman" w:eastAsia="Times New Roman" w:hAnsi="Times New Roman" w:cs="Times New Roman"/>
                <w:sz w:val="24"/>
                <w:szCs w:val="24"/>
                <w:lang w:eastAsia="lt-LT"/>
              </w:rPr>
              <w:t xml:space="preserve">priešvėžinės terapijos individualizavimo strategijų kūrimas, diegiant naujos kartos </w:t>
            </w:r>
            <w:proofErr w:type="spellStart"/>
            <w:r w:rsidRPr="00EF627F">
              <w:rPr>
                <w:rFonts w:ascii="Times New Roman" w:eastAsia="Times New Roman" w:hAnsi="Times New Roman" w:cs="Times New Roman"/>
                <w:sz w:val="24"/>
                <w:szCs w:val="24"/>
                <w:lang w:eastAsia="lt-LT"/>
              </w:rPr>
              <w:t>predikcinius</w:t>
            </w:r>
            <w:proofErr w:type="spellEnd"/>
            <w:r w:rsidRPr="00EF627F">
              <w:rPr>
                <w:rFonts w:ascii="Times New Roman" w:eastAsia="Times New Roman" w:hAnsi="Times New Roman" w:cs="Times New Roman"/>
                <w:sz w:val="24"/>
                <w:szCs w:val="24"/>
                <w:lang w:eastAsia="lt-LT"/>
              </w:rPr>
              <w:t xml:space="preserve"> žymenis ir kuriant </w:t>
            </w:r>
            <w:proofErr w:type="spellStart"/>
            <w:r w:rsidRPr="00EF627F">
              <w:rPr>
                <w:rFonts w:ascii="Times New Roman" w:eastAsia="Times New Roman" w:hAnsi="Times New Roman" w:cs="Times New Roman"/>
                <w:sz w:val="24"/>
                <w:szCs w:val="24"/>
                <w:lang w:eastAsia="lt-LT"/>
              </w:rPr>
              <w:t>inovatyvias</w:t>
            </w:r>
            <w:proofErr w:type="spellEnd"/>
            <w:r w:rsidRPr="00EF627F">
              <w:rPr>
                <w:rFonts w:ascii="Times New Roman" w:eastAsia="Times New Roman" w:hAnsi="Times New Roman" w:cs="Times New Roman"/>
                <w:sz w:val="24"/>
                <w:szCs w:val="24"/>
                <w:lang w:eastAsia="lt-LT"/>
              </w:rPr>
              <w:t xml:space="preserve"> gydymo technologijas. </w:t>
            </w:r>
            <w:r w:rsidRPr="00EF627F">
              <w:rPr>
                <w:rFonts w:ascii="Times New Roman" w:eastAsia="Calibri" w:hAnsi="Times New Roman" w:cs="Times New Roman"/>
                <w:sz w:val="24"/>
                <w:szCs w:val="24"/>
              </w:rPr>
              <w:t xml:space="preserve">Šios programos kontekste bus kuriami ir tiriami nauji </w:t>
            </w:r>
            <w:proofErr w:type="spellStart"/>
            <w:r w:rsidRPr="00EF627F">
              <w:rPr>
                <w:rFonts w:ascii="Times New Roman" w:eastAsia="Calibri" w:hAnsi="Times New Roman" w:cs="Times New Roman"/>
                <w:sz w:val="24"/>
                <w:szCs w:val="24"/>
              </w:rPr>
              <w:t>imunoterapiniai</w:t>
            </w:r>
            <w:proofErr w:type="spellEnd"/>
            <w:r w:rsidRPr="00EF627F">
              <w:rPr>
                <w:rFonts w:ascii="Times New Roman" w:eastAsia="Calibri" w:hAnsi="Times New Roman" w:cs="Times New Roman"/>
                <w:sz w:val="24"/>
                <w:szCs w:val="24"/>
              </w:rPr>
              <w:t xml:space="preserve"> vaistiniai preparatai individualizuotam pacientų gydymui. Individualizuoto gydymo efektyvumui vertinti ir gydomų pacientų būklės monitoringui bus kuriami molekulinių </w:t>
            </w:r>
            <w:proofErr w:type="spellStart"/>
            <w:r w:rsidRPr="00EF627F">
              <w:rPr>
                <w:rFonts w:ascii="Times New Roman" w:eastAsia="Calibri" w:hAnsi="Times New Roman" w:cs="Times New Roman"/>
                <w:sz w:val="24"/>
                <w:szCs w:val="24"/>
              </w:rPr>
              <w:t>predikcinių</w:t>
            </w:r>
            <w:proofErr w:type="spellEnd"/>
            <w:r w:rsidRPr="00EF627F">
              <w:rPr>
                <w:rFonts w:ascii="Times New Roman" w:eastAsia="Calibri" w:hAnsi="Times New Roman" w:cs="Times New Roman"/>
                <w:sz w:val="24"/>
                <w:szCs w:val="24"/>
              </w:rPr>
              <w:t xml:space="preserve"> ir prognozės žymenų algoritmai.</w:t>
            </w:r>
          </w:p>
        </w:tc>
      </w:tr>
      <w:tr w:rsidR="00EF627F" w:rsidRPr="00EF627F" w14:paraId="732964C8" w14:textId="77777777" w:rsidTr="00444D77">
        <w:tc>
          <w:tcPr>
            <w:tcW w:w="9749" w:type="dxa"/>
            <w:shd w:val="clear" w:color="auto" w:fill="auto"/>
          </w:tcPr>
          <w:p w14:paraId="732964C7" w14:textId="77777777" w:rsidR="00EF627F" w:rsidRPr="00EF627F" w:rsidRDefault="00EF627F" w:rsidP="00EF627F">
            <w:pPr>
              <w:tabs>
                <w:tab w:val="left" w:pos="284"/>
              </w:tabs>
              <w:spacing w:after="0" w:line="240" w:lineRule="auto"/>
              <w:contextualSpacing/>
              <w:jc w:val="both"/>
              <w:rPr>
                <w:rFonts w:ascii="Times New Roman" w:eastAsia="Calibri" w:hAnsi="Times New Roman" w:cs="Times New Roman"/>
                <w:sz w:val="24"/>
                <w:szCs w:val="24"/>
              </w:rPr>
            </w:pPr>
            <w:r w:rsidRPr="00EF627F">
              <w:rPr>
                <w:rFonts w:ascii="Times New Roman" w:eastAsia="Times New Roman" w:hAnsi="Times New Roman" w:cs="Times New Roman"/>
                <w:b/>
                <w:sz w:val="24"/>
                <w:szCs w:val="24"/>
                <w:lang w:eastAsia="lt-LT"/>
              </w:rPr>
              <w:t xml:space="preserve">    3. Programos uždavinys </w:t>
            </w:r>
            <w:r w:rsidRPr="00EF627F">
              <w:rPr>
                <w:rFonts w:ascii="Times New Roman" w:eastAsia="Times New Roman" w:hAnsi="Times New Roman" w:cs="Times New Roman"/>
                <w:sz w:val="24"/>
                <w:szCs w:val="24"/>
                <w:lang w:eastAsia="lt-LT"/>
              </w:rPr>
              <w:t>- p</w:t>
            </w:r>
            <w:r w:rsidRPr="00EF627F">
              <w:rPr>
                <w:rFonts w:ascii="Times New Roman" w:eastAsia="Calibri" w:hAnsi="Times New Roman" w:cs="Times New Roman"/>
                <w:sz w:val="24"/>
                <w:szCs w:val="24"/>
              </w:rPr>
              <w:t xml:space="preserve">ažangių terapijos metodų bei atsako </w:t>
            </w:r>
            <w:proofErr w:type="spellStart"/>
            <w:r w:rsidRPr="00EF627F">
              <w:rPr>
                <w:rFonts w:ascii="Times New Roman" w:eastAsia="Calibri" w:hAnsi="Times New Roman" w:cs="Times New Roman"/>
                <w:sz w:val="24"/>
                <w:szCs w:val="24"/>
              </w:rPr>
              <w:t>monitoravimo</w:t>
            </w:r>
            <w:proofErr w:type="spellEnd"/>
            <w:r w:rsidRPr="00EF627F">
              <w:rPr>
                <w:rFonts w:ascii="Times New Roman" w:eastAsia="Calibri" w:hAnsi="Times New Roman" w:cs="Times New Roman"/>
                <w:sz w:val="24"/>
                <w:szCs w:val="24"/>
              </w:rPr>
              <w:t xml:space="preserve"> metodų kūrimas ir </w:t>
            </w:r>
            <w:r w:rsidRPr="00EF627F">
              <w:rPr>
                <w:rFonts w:ascii="Times New Roman" w:eastAsia="Calibri" w:hAnsi="Times New Roman" w:cs="Times New Roman"/>
                <w:sz w:val="24"/>
                <w:szCs w:val="24"/>
                <w:lang w:eastAsia="lt-LT"/>
              </w:rPr>
              <w:t xml:space="preserve">panaudojimas onkologinių pacientų gydymo individualizavimui. </w:t>
            </w:r>
          </w:p>
        </w:tc>
      </w:tr>
      <w:tr w:rsidR="00EF627F" w:rsidRPr="00EF627F" w14:paraId="732964CE" w14:textId="77777777" w:rsidTr="00444D77">
        <w:tc>
          <w:tcPr>
            <w:tcW w:w="9749" w:type="dxa"/>
            <w:shd w:val="clear" w:color="auto" w:fill="auto"/>
          </w:tcPr>
          <w:p w14:paraId="732964C9" w14:textId="77777777" w:rsidR="00EF627F" w:rsidRPr="00EF627F" w:rsidRDefault="00EF627F" w:rsidP="00EF627F">
            <w:pPr>
              <w:spacing w:after="0" w:line="240" w:lineRule="auto"/>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b/>
                <w:sz w:val="24"/>
                <w:szCs w:val="24"/>
                <w:lang w:eastAsia="lt-LT"/>
              </w:rPr>
              <w:t xml:space="preserve">    4. Metodologinis tyrimų pagrindimas:</w:t>
            </w:r>
          </w:p>
          <w:p w14:paraId="732964CA" w14:textId="77777777" w:rsidR="00EF627F" w:rsidRPr="00EF627F" w:rsidRDefault="00EF627F" w:rsidP="00EF627F">
            <w:pPr>
              <w:spacing w:after="0" w:line="240" w:lineRule="auto"/>
              <w:jc w:val="both"/>
              <w:rPr>
                <w:rFonts w:ascii="Times New Roman" w:eastAsia="Calibri" w:hAnsi="Times New Roman" w:cs="Times New Roman"/>
                <w:sz w:val="24"/>
                <w:szCs w:val="24"/>
              </w:rPr>
            </w:pPr>
            <w:r w:rsidRPr="00EF627F">
              <w:rPr>
                <w:rFonts w:ascii="Times New Roman" w:eastAsia="Calibri" w:hAnsi="Times New Roman" w:cs="Times New Roman"/>
                <w:sz w:val="24"/>
                <w:szCs w:val="24"/>
              </w:rPr>
              <w:t xml:space="preserve">Imuninė sistema aktyviai dalyvauja navikų vystymosi ir progresavimo mechanizmuose, todėl imuninio atsako </w:t>
            </w:r>
            <w:proofErr w:type="spellStart"/>
            <w:r w:rsidRPr="00EF627F">
              <w:rPr>
                <w:rFonts w:ascii="Times New Roman" w:eastAsia="Calibri" w:hAnsi="Times New Roman" w:cs="Times New Roman"/>
                <w:sz w:val="24"/>
                <w:szCs w:val="24"/>
              </w:rPr>
              <w:t>monitoravimas</w:t>
            </w:r>
            <w:proofErr w:type="spellEnd"/>
            <w:r w:rsidRPr="00EF627F">
              <w:rPr>
                <w:rFonts w:ascii="Times New Roman" w:eastAsia="Calibri" w:hAnsi="Times New Roman" w:cs="Times New Roman"/>
                <w:sz w:val="24"/>
                <w:szCs w:val="24"/>
              </w:rPr>
              <w:t xml:space="preserve"> ir prognostinių imuninių žymenų nustatymas atveria didesnes galimybes šalia standartinio gydymo taikyti pacientams </w:t>
            </w:r>
            <w:proofErr w:type="spellStart"/>
            <w:r w:rsidRPr="00EF627F">
              <w:rPr>
                <w:rFonts w:ascii="Times New Roman" w:eastAsia="Calibri" w:hAnsi="Times New Roman" w:cs="Times New Roman"/>
                <w:sz w:val="24"/>
                <w:szCs w:val="24"/>
              </w:rPr>
              <w:t>inovatyvias</w:t>
            </w:r>
            <w:proofErr w:type="spellEnd"/>
            <w:r w:rsidRPr="00EF627F">
              <w:rPr>
                <w:rFonts w:ascii="Times New Roman" w:eastAsia="Calibri" w:hAnsi="Times New Roman" w:cs="Times New Roman"/>
                <w:sz w:val="24"/>
                <w:szCs w:val="24"/>
              </w:rPr>
              <w:t xml:space="preserve"> </w:t>
            </w:r>
            <w:proofErr w:type="spellStart"/>
            <w:r w:rsidRPr="00EF627F">
              <w:rPr>
                <w:rFonts w:ascii="Times New Roman" w:eastAsia="Calibri" w:hAnsi="Times New Roman" w:cs="Times New Roman"/>
                <w:sz w:val="24"/>
                <w:szCs w:val="24"/>
              </w:rPr>
              <w:t>imunoterapines</w:t>
            </w:r>
            <w:proofErr w:type="spellEnd"/>
            <w:r w:rsidRPr="00EF627F">
              <w:rPr>
                <w:rFonts w:ascii="Times New Roman" w:eastAsia="Calibri" w:hAnsi="Times New Roman" w:cs="Times New Roman"/>
                <w:sz w:val="24"/>
                <w:szCs w:val="24"/>
              </w:rPr>
              <w:t xml:space="preserve"> bei </w:t>
            </w:r>
            <w:proofErr w:type="spellStart"/>
            <w:r w:rsidRPr="00EF627F">
              <w:rPr>
                <w:rFonts w:ascii="Times New Roman" w:eastAsia="Calibri" w:hAnsi="Times New Roman" w:cs="Times New Roman"/>
                <w:sz w:val="24"/>
                <w:szCs w:val="24"/>
              </w:rPr>
              <w:t>bioterapijos</w:t>
            </w:r>
            <w:proofErr w:type="spellEnd"/>
            <w:r w:rsidRPr="00EF627F">
              <w:rPr>
                <w:rFonts w:ascii="Times New Roman" w:eastAsia="Calibri" w:hAnsi="Times New Roman" w:cs="Times New Roman"/>
                <w:sz w:val="24"/>
                <w:szCs w:val="24"/>
              </w:rPr>
              <w:t xml:space="preserve"> technologijas. Uždavinio įgyvendinimui eksperimentiniuose pelių modeliuose </w:t>
            </w:r>
            <w:proofErr w:type="spellStart"/>
            <w:r w:rsidRPr="00EF627F">
              <w:rPr>
                <w:rFonts w:ascii="Times New Roman" w:eastAsia="Calibri" w:hAnsi="Times New Roman" w:cs="Times New Roman"/>
                <w:sz w:val="24"/>
                <w:szCs w:val="24"/>
              </w:rPr>
              <w:t>imunoterapinių</w:t>
            </w:r>
            <w:proofErr w:type="spellEnd"/>
            <w:r w:rsidRPr="00EF627F">
              <w:rPr>
                <w:rFonts w:ascii="Times New Roman" w:eastAsia="Calibri" w:hAnsi="Times New Roman" w:cs="Times New Roman"/>
                <w:sz w:val="24"/>
                <w:szCs w:val="24"/>
              </w:rPr>
              <w:t xml:space="preserve"> preparatų efektyvumas vertinamas pagal implantuoto naviko dinamiką, </w:t>
            </w:r>
            <w:proofErr w:type="spellStart"/>
            <w:r w:rsidRPr="00EF627F">
              <w:rPr>
                <w:rFonts w:ascii="Times New Roman" w:eastAsia="Calibri" w:hAnsi="Times New Roman" w:cs="Times New Roman"/>
                <w:sz w:val="24"/>
                <w:szCs w:val="24"/>
              </w:rPr>
              <w:t>metastazavimo</w:t>
            </w:r>
            <w:proofErr w:type="spellEnd"/>
            <w:r w:rsidRPr="00EF627F">
              <w:rPr>
                <w:rFonts w:ascii="Times New Roman" w:eastAsia="Calibri" w:hAnsi="Times New Roman" w:cs="Times New Roman"/>
                <w:sz w:val="24"/>
                <w:szCs w:val="24"/>
              </w:rPr>
              <w:t xml:space="preserve"> apimtis ir greitį, gyvūnų bendrą išgyvenimą. Priešvėžinio imuninio atsako pobūdis ir intensyvumas tiek eksperimentiniuose modeliuose, tiek klinikiniuose pavyzdžiuose vertinami pagal kraujo limfocitų populiacijų profilių Th1/Th2/</w:t>
            </w:r>
            <w:proofErr w:type="spellStart"/>
            <w:r w:rsidRPr="00EF627F">
              <w:rPr>
                <w:rFonts w:ascii="Times New Roman" w:eastAsia="Calibri" w:hAnsi="Times New Roman" w:cs="Times New Roman"/>
                <w:sz w:val="24"/>
                <w:szCs w:val="24"/>
              </w:rPr>
              <w:t>Treg</w:t>
            </w:r>
            <w:proofErr w:type="spellEnd"/>
            <w:r w:rsidRPr="00EF627F">
              <w:rPr>
                <w:rFonts w:ascii="Times New Roman" w:eastAsia="Calibri" w:hAnsi="Times New Roman" w:cs="Times New Roman"/>
                <w:sz w:val="24"/>
                <w:szCs w:val="24"/>
              </w:rPr>
              <w:t xml:space="preserve"> pokyčius, išskiriamų </w:t>
            </w:r>
            <w:proofErr w:type="spellStart"/>
            <w:r w:rsidRPr="00EF627F">
              <w:rPr>
                <w:rFonts w:ascii="Times New Roman" w:eastAsia="Calibri" w:hAnsi="Times New Roman" w:cs="Times New Roman"/>
                <w:sz w:val="24"/>
                <w:szCs w:val="24"/>
              </w:rPr>
              <w:t>citokinų</w:t>
            </w:r>
            <w:proofErr w:type="spellEnd"/>
            <w:r w:rsidRPr="00EF627F">
              <w:rPr>
                <w:rFonts w:ascii="Times New Roman" w:eastAsia="Calibri" w:hAnsi="Times New Roman" w:cs="Times New Roman"/>
                <w:sz w:val="24"/>
                <w:szCs w:val="24"/>
              </w:rPr>
              <w:t xml:space="preserve"> profilį ir kiekius, naviko imuninės </w:t>
            </w:r>
            <w:proofErr w:type="spellStart"/>
            <w:r w:rsidRPr="00EF627F">
              <w:rPr>
                <w:rFonts w:ascii="Times New Roman" w:eastAsia="Calibri" w:hAnsi="Times New Roman" w:cs="Times New Roman"/>
                <w:sz w:val="24"/>
                <w:szCs w:val="24"/>
              </w:rPr>
              <w:t>infiltracijos</w:t>
            </w:r>
            <w:proofErr w:type="spellEnd"/>
            <w:r w:rsidRPr="00EF627F">
              <w:rPr>
                <w:rFonts w:ascii="Times New Roman" w:eastAsia="Calibri" w:hAnsi="Times New Roman" w:cs="Times New Roman"/>
                <w:sz w:val="24"/>
                <w:szCs w:val="24"/>
              </w:rPr>
              <w:t xml:space="preserve"> pobūdį. Šie tyrimai atliekami tėkmės </w:t>
            </w:r>
            <w:proofErr w:type="spellStart"/>
            <w:r w:rsidRPr="00EF627F">
              <w:rPr>
                <w:rFonts w:ascii="Times New Roman" w:eastAsia="Calibri" w:hAnsi="Times New Roman" w:cs="Times New Roman"/>
                <w:sz w:val="24"/>
                <w:szCs w:val="24"/>
              </w:rPr>
              <w:t>citometru</w:t>
            </w:r>
            <w:proofErr w:type="spellEnd"/>
            <w:r w:rsidRPr="00EF627F">
              <w:rPr>
                <w:rFonts w:ascii="Times New Roman" w:eastAsia="Calibri" w:hAnsi="Times New Roman" w:cs="Times New Roman"/>
                <w:sz w:val="24"/>
                <w:szCs w:val="24"/>
              </w:rPr>
              <w:t xml:space="preserve"> LSR II (ląstelių </w:t>
            </w:r>
            <w:proofErr w:type="spellStart"/>
            <w:r w:rsidRPr="00EF627F">
              <w:rPr>
                <w:rFonts w:ascii="Times New Roman" w:eastAsia="Calibri" w:hAnsi="Times New Roman" w:cs="Times New Roman"/>
                <w:sz w:val="24"/>
                <w:szCs w:val="24"/>
              </w:rPr>
              <w:t>imunotipavimo</w:t>
            </w:r>
            <w:proofErr w:type="spellEnd"/>
            <w:r w:rsidRPr="00EF627F">
              <w:rPr>
                <w:rFonts w:ascii="Times New Roman" w:eastAsia="Calibri" w:hAnsi="Times New Roman" w:cs="Times New Roman"/>
                <w:sz w:val="24"/>
                <w:szCs w:val="24"/>
              </w:rPr>
              <w:t xml:space="preserve"> ir CBA metodai). Specifinio </w:t>
            </w:r>
            <w:proofErr w:type="spellStart"/>
            <w:r w:rsidRPr="00EF627F">
              <w:rPr>
                <w:rFonts w:ascii="Times New Roman" w:eastAsia="Calibri" w:hAnsi="Times New Roman" w:cs="Times New Roman"/>
                <w:sz w:val="24"/>
                <w:szCs w:val="24"/>
              </w:rPr>
              <w:t>priešnavikinio</w:t>
            </w:r>
            <w:proofErr w:type="spellEnd"/>
            <w:r w:rsidRPr="00EF627F">
              <w:rPr>
                <w:rFonts w:ascii="Times New Roman" w:eastAsia="Calibri" w:hAnsi="Times New Roman" w:cs="Times New Roman"/>
                <w:sz w:val="24"/>
                <w:szCs w:val="24"/>
              </w:rPr>
              <w:t xml:space="preserve"> atsako (</w:t>
            </w:r>
            <w:proofErr w:type="spellStart"/>
            <w:r w:rsidRPr="00EF627F">
              <w:rPr>
                <w:rFonts w:ascii="Times New Roman" w:eastAsia="Calibri" w:hAnsi="Times New Roman" w:cs="Times New Roman"/>
                <w:sz w:val="24"/>
                <w:szCs w:val="24"/>
              </w:rPr>
              <w:t>citotoksinių</w:t>
            </w:r>
            <w:proofErr w:type="spellEnd"/>
            <w:r w:rsidRPr="00EF627F">
              <w:rPr>
                <w:rFonts w:ascii="Times New Roman" w:eastAsia="Calibri" w:hAnsi="Times New Roman" w:cs="Times New Roman"/>
                <w:sz w:val="24"/>
                <w:szCs w:val="24"/>
              </w:rPr>
              <w:t xml:space="preserve"> limfocitų išskiriamo IFN γ intensyvumas) vertinamas ELISPOT arba ELISA metodais. N</w:t>
            </w:r>
            <w:r w:rsidRPr="00EF627F">
              <w:rPr>
                <w:rFonts w:ascii="Times New Roman" w:eastAsia="Times New Roman" w:hAnsi="Times New Roman" w:cs="Times New Roman"/>
                <w:sz w:val="24"/>
                <w:szCs w:val="24"/>
              </w:rPr>
              <w:t xml:space="preserve">aviką infiltruojančių imuninių ląstelių fenotipas bus vertinami </w:t>
            </w:r>
            <w:proofErr w:type="spellStart"/>
            <w:r w:rsidRPr="00EF627F">
              <w:rPr>
                <w:rFonts w:ascii="Times New Roman" w:eastAsia="Times New Roman" w:hAnsi="Times New Roman" w:cs="Times New Roman"/>
                <w:sz w:val="24"/>
                <w:szCs w:val="24"/>
              </w:rPr>
              <w:t>imunohistochemijos</w:t>
            </w:r>
            <w:proofErr w:type="spellEnd"/>
            <w:r w:rsidRPr="00EF627F">
              <w:rPr>
                <w:rFonts w:ascii="Times New Roman" w:eastAsia="Times New Roman" w:hAnsi="Times New Roman" w:cs="Times New Roman"/>
                <w:sz w:val="24"/>
                <w:szCs w:val="24"/>
              </w:rPr>
              <w:t xml:space="preserve"> metodais, o limfocitų imuninio atsako patikros žymenų raiška - PGR metodu</w:t>
            </w:r>
            <w:r w:rsidRPr="00EF627F">
              <w:rPr>
                <w:rFonts w:ascii="Times New Roman" w:eastAsia="Times New Roman" w:hAnsi="Times New Roman" w:cs="Times New Roman"/>
                <w:sz w:val="24"/>
                <w:szCs w:val="24"/>
                <w:lang w:eastAsia="lt-LT"/>
              </w:rPr>
              <w:t>.</w:t>
            </w:r>
          </w:p>
          <w:p w14:paraId="732964CB" w14:textId="77777777" w:rsidR="00EF627F" w:rsidRPr="00EF627F" w:rsidRDefault="00EF627F" w:rsidP="00EF627F">
            <w:pPr>
              <w:spacing w:after="0" w:line="240" w:lineRule="auto"/>
              <w:jc w:val="both"/>
              <w:rPr>
                <w:rFonts w:ascii="Times New Roman" w:eastAsia="Calibri" w:hAnsi="Times New Roman" w:cs="Times New Roman"/>
                <w:sz w:val="24"/>
                <w:szCs w:val="24"/>
              </w:rPr>
            </w:pPr>
            <w:r w:rsidRPr="00EF627F">
              <w:rPr>
                <w:rFonts w:ascii="Times New Roman" w:eastAsia="Times New Roman" w:hAnsi="Times New Roman" w:cs="Times New Roman"/>
                <w:sz w:val="24"/>
                <w:szCs w:val="24"/>
                <w:lang w:eastAsia="lt-LT"/>
              </w:rPr>
              <w:t xml:space="preserve">Ligos eigos stebėjimui po chirurginio naviko pašalinimo ir </w:t>
            </w:r>
            <w:proofErr w:type="spellStart"/>
            <w:r w:rsidRPr="00EF627F">
              <w:rPr>
                <w:rFonts w:ascii="Times New Roman" w:eastAsia="Times New Roman" w:hAnsi="Times New Roman" w:cs="Times New Roman"/>
                <w:sz w:val="24"/>
                <w:szCs w:val="24"/>
                <w:lang w:eastAsia="lt-LT"/>
              </w:rPr>
              <w:t>neoadjuvantinės</w:t>
            </w:r>
            <w:proofErr w:type="spellEnd"/>
            <w:r w:rsidRPr="00EF627F">
              <w:rPr>
                <w:rFonts w:ascii="Times New Roman" w:eastAsia="Times New Roman" w:hAnsi="Times New Roman" w:cs="Times New Roman"/>
                <w:sz w:val="24"/>
                <w:szCs w:val="24"/>
                <w:lang w:eastAsia="lt-LT"/>
              </w:rPr>
              <w:t xml:space="preserve"> chemoterapijos/spindulinės terapijos pasaulyje vis plačiau diegiami neinvaziniai </w:t>
            </w:r>
            <w:proofErr w:type="spellStart"/>
            <w:r w:rsidRPr="00EF627F">
              <w:rPr>
                <w:rFonts w:ascii="Times New Roman" w:eastAsia="Times New Roman" w:hAnsi="Times New Roman" w:cs="Times New Roman"/>
                <w:sz w:val="24"/>
                <w:szCs w:val="24"/>
                <w:lang w:eastAsia="lt-LT"/>
              </w:rPr>
              <w:t>monitoravimo</w:t>
            </w:r>
            <w:proofErr w:type="spellEnd"/>
            <w:r w:rsidRPr="00EF627F">
              <w:rPr>
                <w:rFonts w:ascii="Times New Roman" w:eastAsia="Times New Roman" w:hAnsi="Times New Roman" w:cs="Times New Roman"/>
                <w:sz w:val="24"/>
                <w:szCs w:val="24"/>
                <w:lang w:eastAsia="lt-LT"/>
              </w:rPr>
              <w:t xml:space="preserve"> metodai – pažangios vaizdinimo sistemos bei molekulinių žymenų rinkiniai. Naujos kartos genetiniai tyrimų metodai leidžia aptikti minimalios liekamosios ligos (MLL) požymius (cirkuliuojančias vėžio ląsteles, pakitusią vėžio DNR, RNR ar </w:t>
            </w:r>
            <w:proofErr w:type="spellStart"/>
            <w:r w:rsidRPr="00EF627F">
              <w:rPr>
                <w:rFonts w:ascii="Times New Roman" w:eastAsia="Times New Roman" w:hAnsi="Times New Roman" w:cs="Times New Roman"/>
                <w:sz w:val="24"/>
                <w:szCs w:val="24"/>
                <w:lang w:eastAsia="lt-LT"/>
              </w:rPr>
              <w:t>miRNR</w:t>
            </w:r>
            <w:proofErr w:type="spellEnd"/>
            <w:r w:rsidRPr="00EF627F">
              <w:rPr>
                <w:rFonts w:ascii="Times New Roman" w:eastAsia="Times New Roman" w:hAnsi="Times New Roman" w:cs="Times New Roman"/>
                <w:sz w:val="24"/>
                <w:szCs w:val="24"/>
                <w:lang w:eastAsia="lt-LT"/>
              </w:rPr>
              <w:t>) organizmo skysčiuose, atliekant vadinamąją skystąją biopsiją (</w:t>
            </w:r>
            <w:proofErr w:type="spellStart"/>
            <w:r w:rsidRPr="00EF627F">
              <w:rPr>
                <w:rFonts w:ascii="Times New Roman" w:eastAsia="Times New Roman" w:hAnsi="Times New Roman" w:cs="Times New Roman"/>
                <w:sz w:val="24"/>
                <w:szCs w:val="24"/>
                <w:lang w:eastAsia="lt-LT"/>
              </w:rPr>
              <w:t>Kim</w:t>
            </w:r>
            <w:proofErr w:type="spellEnd"/>
            <w:r w:rsidRPr="00EF627F">
              <w:rPr>
                <w:rFonts w:ascii="Times New Roman" w:eastAsia="Times New Roman" w:hAnsi="Times New Roman" w:cs="Times New Roman"/>
                <w:sz w:val="24"/>
                <w:szCs w:val="24"/>
                <w:lang w:eastAsia="lt-LT"/>
              </w:rPr>
              <w:t xml:space="preserve"> 2014). Mažosios nekoduojančios RNR (</w:t>
            </w:r>
            <w:proofErr w:type="spellStart"/>
            <w:r w:rsidRPr="00EF627F">
              <w:rPr>
                <w:rFonts w:ascii="Times New Roman" w:eastAsia="Times New Roman" w:hAnsi="Times New Roman" w:cs="Times New Roman"/>
                <w:sz w:val="24"/>
                <w:szCs w:val="24"/>
                <w:lang w:eastAsia="lt-LT"/>
              </w:rPr>
              <w:t>miRNR</w:t>
            </w:r>
            <w:proofErr w:type="spellEnd"/>
            <w:r w:rsidRPr="00EF627F">
              <w:rPr>
                <w:rFonts w:ascii="Times New Roman" w:eastAsia="Times New Roman" w:hAnsi="Times New Roman" w:cs="Times New Roman"/>
                <w:sz w:val="24"/>
                <w:szCs w:val="24"/>
                <w:lang w:eastAsia="lt-LT"/>
              </w:rPr>
              <w:t xml:space="preserve">) reguliuoja genų raišką, dalyvauja </w:t>
            </w:r>
            <w:proofErr w:type="spellStart"/>
            <w:r w:rsidRPr="00EF627F">
              <w:rPr>
                <w:rFonts w:ascii="Times New Roman" w:eastAsia="Times New Roman" w:hAnsi="Times New Roman" w:cs="Times New Roman"/>
                <w:sz w:val="24"/>
                <w:szCs w:val="24"/>
                <w:lang w:eastAsia="lt-LT"/>
              </w:rPr>
              <w:t>onkogenezės</w:t>
            </w:r>
            <w:proofErr w:type="spellEnd"/>
            <w:r w:rsidRPr="00EF627F">
              <w:rPr>
                <w:rFonts w:ascii="Times New Roman" w:eastAsia="Times New Roman" w:hAnsi="Times New Roman" w:cs="Times New Roman"/>
                <w:sz w:val="24"/>
                <w:szCs w:val="24"/>
                <w:lang w:eastAsia="lt-LT"/>
              </w:rPr>
              <w:t xml:space="preserve"> procese </w:t>
            </w:r>
            <w:r w:rsidRPr="00EF627F">
              <w:rPr>
                <w:rFonts w:ascii="Times New Roman" w:eastAsia="Calibri" w:hAnsi="Times New Roman" w:cs="Times New Roman"/>
                <w:sz w:val="24"/>
                <w:szCs w:val="24"/>
              </w:rPr>
              <w:t>(</w:t>
            </w:r>
            <w:proofErr w:type="spellStart"/>
            <w:r w:rsidRPr="00EF627F">
              <w:rPr>
                <w:rFonts w:ascii="Times New Roman" w:eastAsia="Calibri" w:hAnsi="Times New Roman" w:cs="Times New Roman"/>
                <w:sz w:val="24"/>
                <w:szCs w:val="24"/>
              </w:rPr>
              <w:t>Iorio</w:t>
            </w:r>
            <w:proofErr w:type="spellEnd"/>
            <w:r w:rsidRPr="00EF627F">
              <w:rPr>
                <w:rFonts w:ascii="Times New Roman" w:eastAsia="Calibri" w:hAnsi="Times New Roman" w:cs="Times New Roman"/>
                <w:sz w:val="24"/>
                <w:szCs w:val="24"/>
              </w:rPr>
              <w:t xml:space="preserve">, </w:t>
            </w:r>
            <w:proofErr w:type="spellStart"/>
            <w:r w:rsidRPr="00EF627F">
              <w:rPr>
                <w:rFonts w:ascii="Times New Roman" w:eastAsia="Calibri" w:hAnsi="Times New Roman" w:cs="Times New Roman"/>
                <w:sz w:val="24"/>
                <w:szCs w:val="24"/>
              </w:rPr>
              <w:t>Croce</w:t>
            </w:r>
            <w:proofErr w:type="spellEnd"/>
            <w:r w:rsidRPr="00EF627F">
              <w:rPr>
                <w:rFonts w:ascii="Times New Roman" w:eastAsia="Calibri" w:hAnsi="Times New Roman" w:cs="Times New Roman"/>
                <w:sz w:val="24"/>
                <w:szCs w:val="24"/>
              </w:rPr>
              <w:t xml:space="preserve"> 2012). Tyrimų rezultatai rodo, kad didelė miR-200c raiška kraujyje yra susijusi su trumpesniu pacienčių, sergančių krūties vėžiu, laikotarpiu iki ligos atsinaujinimo (</w:t>
            </w:r>
            <w:proofErr w:type="spellStart"/>
            <w:r w:rsidRPr="00EF627F">
              <w:rPr>
                <w:rFonts w:ascii="Times New Roman" w:eastAsia="Calibri" w:hAnsi="Times New Roman" w:cs="Times New Roman"/>
                <w:sz w:val="24"/>
                <w:szCs w:val="24"/>
              </w:rPr>
              <w:t>Antolín</w:t>
            </w:r>
            <w:proofErr w:type="spellEnd"/>
            <w:r w:rsidRPr="00EF627F">
              <w:rPr>
                <w:rFonts w:ascii="Times New Roman" w:eastAsia="Calibri" w:hAnsi="Times New Roman" w:cs="Times New Roman"/>
                <w:sz w:val="24"/>
                <w:szCs w:val="24"/>
              </w:rPr>
              <w:t xml:space="preserve"> ir kt. 2015). Kitų tyrimų rezultatai rodo, kad didelė </w:t>
            </w:r>
            <w:proofErr w:type="spellStart"/>
            <w:r w:rsidRPr="00EF627F">
              <w:rPr>
                <w:rFonts w:ascii="Times New Roman" w:eastAsia="Calibri" w:hAnsi="Times New Roman" w:cs="Times New Roman"/>
                <w:sz w:val="24"/>
                <w:szCs w:val="24"/>
              </w:rPr>
              <w:t>onkogeninės</w:t>
            </w:r>
            <w:proofErr w:type="spellEnd"/>
            <w:r w:rsidRPr="00EF627F">
              <w:rPr>
                <w:rFonts w:ascii="Times New Roman" w:eastAsia="Calibri" w:hAnsi="Times New Roman" w:cs="Times New Roman"/>
                <w:sz w:val="24"/>
                <w:szCs w:val="24"/>
              </w:rPr>
              <w:t xml:space="preserve"> </w:t>
            </w:r>
            <w:proofErr w:type="spellStart"/>
            <w:r w:rsidRPr="00EF627F">
              <w:rPr>
                <w:rFonts w:ascii="Times New Roman" w:eastAsia="Calibri" w:hAnsi="Times New Roman" w:cs="Times New Roman"/>
                <w:sz w:val="24"/>
                <w:szCs w:val="24"/>
              </w:rPr>
              <w:t>miR-27a</w:t>
            </w:r>
            <w:proofErr w:type="spellEnd"/>
            <w:r w:rsidRPr="00EF627F">
              <w:rPr>
                <w:rFonts w:ascii="Times New Roman" w:eastAsia="Calibri" w:hAnsi="Times New Roman" w:cs="Times New Roman"/>
                <w:sz w:val="24"/>
                <w:szCs w:val="24"/>
              </w:rPr>
              <w:t xml:space="preserve"> raiška yra susijusi su trumpesniu sergančiųjų krūties vėžiu bendru </w:t>
            </w:r>
            <w:proofErr w:type="spellStart"/>
            <w:r w:rsidRPr="00EF627F">
              <w:rPr>
                <w:rFonts w:ascii="Times New Roman" w:eastAsia="Calibri" w:hAnsi="Times New Roman" w:cs="Times New Roman"/>
                <w:sz w:val="24"/>
                <w:szCs w:val="24"/>
              </w:rPr>
              <w:t>išgyvenamumu</w:t>
            </w:r>
            <w:proofErr w:type="spellEnd"/>
            <w:r w:rsidRPr="00EF627F">
              <w:rPr>
                <w:rFonts w:ascii="Times New Roman" w:eastAsia="Calibri" w:hAnsi="Times New Roman" w:cs="Times New Roman"/>
                <w:sz w:val="24"/>
                <w:szCs w:val="24"/>
              </w:rPr>
              <w:t xml:space="preserve"> (</w:t>
            </w:r>
            <w:proofErr w:type="spellStart"/>
            <w:r w:rsidRPr="00EF627F">
              <w:rPr>
                <w:rFonts w:ascii="Times New Roman" w:eastAsia="Calibri" w:hAnsi="Times New Roman" w:cs="Times New Roman"/>
                <w:sz w:val="24"/>
                <w:szCs w:val="24"/>
              </w:rPr>
              <w:t>Tang</w:t>
            </w:r>
            <w:proofErr w:type="spellEnd"/>
            <w:r w:rsidRPr="00EF627F">
              <w:rPr>
                <w:rFonts w:ascii="Times New Roman" w:eastAsia="Calibri" w:hAnsi="Times New Roman" w:cs="Times New Roman"/>
                <w:sz w:val="24"/>
                <w:szCs w:val="24"/>
              </w:rPr>
              <w:t xml:space="preserve"> et al., 2012). Įgyvendindami šio uždavinio priemones vertinsime onkologinių pacientų kraujyje cirkuliuojančių </w:t>
            </w:r>
            <w:proofErr w:type="spellStart"/>
            <w:r w:rsidRPr="00EF627F">
              <w:rPr>
                <w:rFonts w:ascii="Times New Roman" w:eastAsia="Calibri" w:hAnsi="Times New Roman" w:cs="Times New Roman"/>
                <w:sz w:val="24"/>
                <w:szCs w:val="24"/>
              </w:rPr>
              <w:t>miRNR</w:t>
            </w:r>
            <w:proofErr w:type="spellEnd"/>
            <w:r w:rsidRPr="00EF627F">
              <w:rPr>
                <w:rFonts w:ascii="Times New Roman" w:eastAsia="Calibri" w:hAnsi="Times New Roman" w:cs="Times New Roman"/>
                <w:sz w:val="24"/>
                <w:szCs w:val="24"/>
              </w:rPr>
              <w:t xml:space="preserve">, dalyvaujančių naviko </w:t>
            </w:r>
            <w:proofErr w:type="spellStart"/>
            <w:r w:rsidRPr="00EF627F">
              <w:rPr>
                <w:rFonts w:ascii="Times New Roman" w:eastAsia="Calibri" w:hAnsi="Times New Roman" w:cs="Times New Roman"/>
                <w:sz w:val="24"/>
                <w:szCs w:val="24"/>
              </w:rPr>
              <w:t>angiogenezės</w:t>
            </w:r>
            <w:proofErr w:type="spellEnd"/>
            <w:r w:rsidRPr="00EF627F">
              <w:rPr>
                <w:rFonts w:ascii="Times New Roman" w:eastAsia="Calibri" w:hAnsi="Times New Roman" w:cs="Times New Roman"/>
                <w:sz w:val="24"/>
                <w:szCs w:val="24"/>
              </w:rPr>
              <w:t xml:space="preserve">, imuninės sistemos ląstelių migracijos į naviką bei vėžinių ir </w:t>
            </w:r>
            <w:proofErr w:type="spellStart"/>
            <w:r w:rsidRPr="00EF627F">
              <w:rPr>
                <w:rFonts w:ascii="Times New Roman" w:eastAsia="Calibri" w:hAnsi="Times New Roman" w:cs="Times New Roman"/>
                <w:sz w:val="24"/>
                <w:szCs w:val="24"/>
              </w:rPr>
              <w:t>stromos</w:t>
            </w:r>
            <w:proofErr w:type="spellEnd"/>
            <w:r w:rsidRPr="00EF627F">
              <w:rPr>
                <w:rFonts w:ascii="Times New Roman" w:eastAsia="Calibri" w:hAnsi="Times New Roman" w:cs="Times New Roman"/>
                <w:sz w:val="24"/>
                <w:szCs w:val="24"/>
              </w:rPr>
              <w:t xml:space="preserve"> ląstelių sąveikų reguliavime (</w:t>
            </w:r>
            <w:proofErr w:type="spellStart"/>
            <w:r w:rsidRPr="00EF627F">
              <w:rPr>
                <w:rFonts w:ascii="Times New Roman" w:eastAsia="Calibri" w:hAnsi="Times New Roman" w:cs="Times New Roman"/>
                <w:sz w:val="24"/>
                <w:szCs w:val="24"/>
              </w:rPr>
              <w:t>Nicoloso</w:t>
            </w:r>
            <w:proofErr w:type="spellEnd"/>
            <w:r w:rsidRPr="00EF627F">
              <w:rPr>
                <w:rFonts w:ascii="Times New Roman" w:eastAsia="Calibri" w:hAnsi="Times New Roman" w:cs="Times New Roman"/>
                <w:sz w:val="24"/>
                <w:szCs w:val="24"/>
              </w:rPr>
              <w:t xml:space="preserve"> ir kt. 2009, </w:t>
            </w:r>
            <w:proofErr w:type="spellStart"/>
            <w:r w:rsidRPr="00EF627F">
              <w:rPr>
                <w:rFonts w:ascii="Times New Roman" w:eastAsia="Calibri" w:hAnsi="Times New Roman" w:cs="Times New Roman"/>
                <w:sz w:val="24"/>
                <w:szCs w:val="24"/>
              </w:rPr>
              <w:t>Li</w:t>
            </w:r>
            <w:proofErr w:type="spellEnd"/>
            <w:r w:rsidRPr="00EF627F">
              <w:rPr>
                <w:rFonts w:ascii="Times New Roman" w:eastAsia="Calibri" w:hAnsi="Times New Roman" w:cs="Times New Roman"/>
                <w:sz w:val="24"/>
                <w:szCs w:val="24"/>
              </w:rPr>
              <w:t xml:space="preserve"> ir kt. 2013, </w:t>
            </w:r>
            <w:proofErr w:type="spellStart"/>
            <w:r w:rsidRPr="00EF627F">
              <w:rPr>
                <w:rFonts w:ascii="Times New Roman" w:eastAsia="Calibri" w:hAnsi="Times New Roman" w:cs="Times New Roman"/>
                <w:sz w:val="24"/>
                <w:szCs w:val="24"/>
              </w:rPr>
              <w:t>Zhang</w:t>
            </w:r>
            <w:proofErr w:type="spellEnd"/>
            <w:r w:rsidRPr="00EF627F">
              <w:rPr>
                <w:rFonts w:ascii="Times New Roman" w:eastAsia="Calibri" w:hAnsi="Times New Roman" w:cs="Times New Roman"/>
                <w:sz w:val="24"/>
                <w:szCs w:val="24"/>
              </w:rPr>
              <w:t xml:space="preserve"> ir kt. 2014), sąsajas su ligos atsinaujinimu, metastazių formavimusi, kad būtų galima sukurti MLL statuso vertinimo sistemas ir individualizuoti gydymą, naudojant šias sistemas.</w:t>
            </w:r>
          </w:p>
          <w:p w14:paraId="732964CC" w14:textId="77777777" w:rsidR="00EF627F" w:rsidRPr="00EF627F" w:rsidRDefault="00EF627F" w:rsidP="00EF627F">
            <w:pPr>
              <w:spacing w:after="0" w:line="240" w:lineRule="auto"/>
              <w:jc w:val="both"/>
              <w:rPr>
                <w:rFonts w:ascii="Times New Roman" w:eastAsia="Calibri" w:hAnsi="Times New Roman" w:cs="Times New Roman"/>
                <w:sz w:val="24"/>
                <w:szCs w:val="24"/>
              </w:rPr>
            </w:pPr>
            <w:r w:rsidRPr="00EF627F">
              <w:rPr>
                <w:rFonts w:ascii="Times New Roman" w:eastAsia="Calibri" w:hAnsi="Times New Roman" w:cs="Times New Roman"/>
                <w:sz w:val="24"/>
                <w:szCs w:val="24"/>
              </w:rPr>
              <w:t>Priešvėžinės terapijos individualizavimui taip pat svarbi ir dažniausiai priešvėžinėje terapijoje naudojamų gydymo technologijų (chemoterapijos, spindulinės terapijos), kurios taikomos tiek nustačius ligos atsinaujinimą po MLL etapo, tiek diagnozavus ligą jau vėlesnėse stadijose, plėtra.</w:t>
            </w:r>
            <w:r w:rsidRPr="00EF627F">
              <w:rPr>
                <w:rFonts w:ascii="Times New Roman" w:eastAsia="Times New Roman" w:hAnsi="Times New Roman" w:cs="Times New Roman"/>
                <w:sz w:val="24"/>
                <w:szCs w:val="24"/>
                <w:lang w:eastAsia="lt-LT"/>
              </w:rPr>
              <w:t xml:space="preserve"> Vykdant šios krypties tyrimus bus kuriamos, tobulinamos ir diegiamos naujos onkologinių pacientų gydymo technologijos (taikinių terapija, imunoterapija, </w:t>
            </w:r>
            <w:proofErr w:type="spellStart"/>
            <w:r w:rsidRPr="00EF627F">
              <w:rPr>
                <w:rFonts w:ascii="Times New Roman" w:eastAsia="Calibri" w:hAnsi="Times New Roman" w:cs="Times New Roman"/>
                <w:sz w:val="24"/>
                <w:szCs w:val="24"/>
              </w:rPr>
              <w:t>hipofrakcionuota</w:t>
            </w:r>
            <w:proofErr w:type="spellEnd"/>
            <w:r w:rsidRPr="00EF627F">
              <w:rPr>
                <w:rFonts w:ascii="Times New Roman" w:eastAsia="Calibri" w:hAnsi="Times New Roman" w:cs="Times New Roman"/>
                <w:sz w:val="24"/>
                <w:szCs w:val="24"/>
              </w:rPr>
              <w:t xml:space="preserve"> spindulinė terapija, </w:t>
            </w:r>
            <w:proofErr w:type="spellStart"/>
            <w:r w:rsidRPr="00EF627F">
              <w:rPr>
                <w:rFonts w:ascii="Times New Roman" w:eastAsia="Calibri" w:hAnsi="Times New Roman" w:cs="Times New Roman"/>
                <w:color w:val="000000"/>
                <w:sz w:val="24"/>
                <w:szCs w:val="24"/>
              </w:rPr>
              <w:t>brachiterapija</w:t>
            </w:r>
            <w:proofErr w:type="spellEnd"/>
            <w:r w:rsidRPr="00EF627F">
              <w:rPr>
                <w:rFonts w:ascii="Times New Roman" w:eastAsia="Calibri" w:hAnsi="Times New Roman" w:cs="Times New Roman"/>
                <w:sz w:val="24"/>
                <w:szCs w:val="24"/>
              </w:rPr>
              <w:t xml:space="preserve">), planuojama nustatyti standartinių gydymo metodų (chemoterapijos, spindulinės terapijos) veiksmingumo didinimui svarbių vėžinių ląstelių, organizmo apsauginių sistemų </w:t>
            </w:r>
            <w:r w:rsidRPr="00EF627F">
              <w:rPr>
                <w:rFonts w:ascii="Times New Roman" w:eastAsia="Calibri" w:hAnsi="Times New Roman" w:cs="Times New Roman"/>
                <w:sz w:val="24"/>
                <w:szCs w:val="24"/>
              </w:rPr>
              <w:lastRenderedPageBreak/>
              <w:t xml:space="preserve">reakcijos žymenų bei vaizdinimo algoritmus. Tyrimuose planuojama naudoti visuminius tyrimų metodus – visuminę </w:t>
            </w:r>
            <w:proofErr w:type="spellStart"/>
            <w:r w:rsidRPr="00EF627F">
              <w:rPr>
                <w:rFonts w:ascii="Times New Roman" w:eastAsia="Calibri" w:hAnsi="Times New Roman" w:cs="Times New Roman"/>
                <w:sz w:val="24"/>
                <w:szCs w:val="24"/>
              </w:rPr>
              <w:t>transkriptominę</w:t>
            </w:r>
            <w:proofErr w:type="spellEnd"/>
            <w:r w:rsidRPr="00EF627F">
              <w:rPr>
                <w:rFonts w:ascii="Times New Roman" w:eastAsia="Calibri" w:hAnsi="Times New Roman" w:cs="Times New Roman"/>
                <w:sz w:val="24"/>
                <w:szCs w:val="24"/>
              </w:rPr>
              <w:t xml:space="preserve"> analizę DNR </w:t>
            </w:r>
            <w:proofErr w:type="spellStart"/>
            <w:r w:rsidRPr="00EF627F">
              <w:rPr>
                <w:rFonts w:ascii="Times New Roman" w:eastAsia="Calibri" w:hAnsi="Times New Roman" w:cs="Times New Roman"/>
                <w:sz w:val="24"/>
                <w:szCs w:val="24"/>
              </w:rPr>
              <w:t>mikrogardelėmis</w:t>
            </w:r>
            <w:proofErr w:type="spellEnd"/>
            <w:r w:rsidRPr="00EF627F">
              <w:rPr>
                <w:rFonts w:ascii="Times New Roman" w:eastAsia="Calibri" w:hAnsi="Times New Roman" w:cs="Times New Roman"/>
                <w:sz w:val="24"/>
                <w:szCs w:val="24"/>
              </w:rPr>
              <w:t xml:space="preserve">, </w:t>
            </w:r>
            <w:proofErr w:type="spellStart"/>
            <w:r w:rsidRPr="00EF627F">
              <w:rPr>
                <w:rFonts w:ascii="Times New Roman" w:eastAsia="Calibri" w:hAnsi="Times New Roman" w:cs="Times New Roman"/>
                <w:sz w:val="24"/>
                <w:szCs w:val="24"/>
              </w:rPr>
              <w:t>miRNR</w:t>
            </w:r>
            <w:proofErr w:type="spellEnd"/>
            <w:r w:rsidRPr="00EF627F">
              <w:rPr>
                <w:rFonts w:ascii="Times New Roman" w:eastAsia="Calibri" w:hAnsi="Times New Roman" w:cs="Times New Roman"/>
                <w:sz w:val="24"/>
                <w:szCs w:val="24"/>
              </w:rPr>
              <w:t xml:space="preserve"> raiškos tyrimus visumine naujos kartos </w:t>
            </w:r>
            <w:proofErr w:type="spellStart"/>
            <w:r w:rsidRPr="00EF627F">
              <w:rPr>
                <w:rFonts w:ascii="Times New Roman" w:eastAsia="Calibri" w:hAnsi="Times New Roman" w:cs="Times New Roman"/>
                <w:sz w:val="24"/>
                <w:szCs w:val="24"/>
              </w:rPr>
              <w:t>sekoskaita</w:t>
            </w:r>
            <w:proofErr w:type="spellEnd"/>
            <w:r w:rsidRPr="00EF627F">
              <w:rPr>
                <w:rFonts w:ascii="Times New Roman" w:eastAsia="Calibri" w:hAnsi="Times New Roman" w:cs="Times New Roman"/>
                <w:sz w:val="24"/>
                <w:szCs w:val="24"/>
              </w:rPr>
              <w:t xml:space="preserve"> – analizuojant molekulinius procesus tiek tyrimų modeliuose tiek biologiniuose pacientų </w:t>
            </w:r>
            <w:proofErr w:type="spellStart"/>
            <w:r w:rsidRPr="00EF627F">
              <w:rPr>
                <w:rFonts w:ascii="Times New Roman" w:eastAsia="Calibri" w:hAnsi="Times New Roman" w:cs="Times New Roman"/>
                <w:sz w:val="24"/>
                <w:szCs w:val="24"/>
              </w:rPr>
              <w:t>ėminiuose</w:t>
            </w:r>
            <w:proofErr w:type="spellEnd"/>
            <w:r w:rsidRPr="00EF627F">
              <w:rPr>
                <w:rFonts w:ascii="Times New Roman" w:eastAsia="Calibri" w:hAnsi="Times New Roman" w:cs="Times New Roman"/>
                <w:sz w:val="24"/>
                <w:szCs w:val="24"/>
              </w:rPr>
              <w:t xml:space="preserve">. </w:t>
            </w:r>
          </w:p>
          <w:p w14:paraId="732964CD" w14:textId="77777777" w:rsidR="00EF627F" w:rsidRPr="00EF627F" w:rsidRDefault="00EF627F" w:rsidP="00EF627F">
            <w:pPr>
              <w:spacing w:after="0" w:line="240" w:lineRule="auto"/>
              <w:jc w:val="both"/>
              <w:rPr>
                <w:rFonts w:ascii="Times New Roman" w:eastAsia="Times New Roman" w:hAnsi="Times New Roman" w:cs="Times New Roman"/>
                <w:sz w:val="24"/>
                <w:szCs w:val="24"/>
                <w:lang w:eastAsia="lt-LT"/>
              </w:rPr>
            </w:pPr>
            <w:r w:rsidRPr="00EF627F">
              <w:rPr>
                <w:rFonts w:ascii="Times New Roman" w:eastAsia="Calibri" w:hAnsi="Times New Roman" w:cs="Times New Roman"/>
                <w:sz w:val="24"/>
                <w:szCs w:val="24"/>
              </w:rPr>
              <w:t xml:space="preserve">Dauguma naujos kartos vakcinų ir vaistų įvairių lokalizacijų navikams gydyti buvo atrasta naudojant onkologinių pacientų surinktus ir </w:t>
            </w:r>
            <w:proofErr w:type="spellStart"/>
            <w:r w:rsidRPr="00EF627F">
              <w:rPr>
                <w:rFonts w:ascii="Times New Roman" w:eastAsia="Calibri" w:hAnsi="Times New Roman" w:cs="Times New Roman"/>
                <w:sz w:val="24"/>
                <w:szCs w:val="24"/>
              </w:rPr>
              <w:t>biobankuose</w:t>
            </w:r>
            <w:proofErr w:type="spellEnd"/>
            <w:r w:rsidRPr="00EF627F">
              <w:rPr>
                <w:rFonts w:ascii="Times New Roman" w:eastAsia="Calibri" w:hAnsi="Times New Roman" w:cs="Times New Roman"/>
                <w:sz w:val="24"/>
                <w:szCs w:val="24"/>
              </w:rPr>
              <w:t xml:space="preserve"> saugomus biologinius </w:t>
            </w:r>
            <w:proofErr w:type="spellStart"/>
            <w:r w:rsidRPr="00EF627F">
              <w:rPr>
                <w:rFonts w:ascii="Times New Roman" w:eastAsia="Calibri" w:hAnsi="Times New Roman" w:cs="Times New Roman"/>
                <w:sz w:val="24"/>
                <w:szCs w:val="24"/>
              </w:rPr>
              <w:t>ėminius</w:t>
            </w:r>
            <w:proofErr w:type="spellEnd"/>
            <w:r w:rsidRPr="00EF627F">
              <w:rPr>
                <w:rFonts w:ascii="Times New Roman" w:eastAsia="Calibri" w:hAnsi="Times New Roman" w:cs="Times New Roman"/>
                <w:sz w:val="24"/>
                <w:szCs w:val="24"/>
              </w:rPr>
              <w:t xml:space="preserve">. Todėl pastaraisiais metais ypatingas dėmesys skiriamas </w:t>
            </w:r>
            <w:proofErr w:type="spellStart"/>
            <w:r w:rsidRPr="00EF627F">
              <w:rPr>
                <w:rFonts w:ascii="Times New Roman" w:eastAsia="Calibri" w:hAnsi="Times New Roman" w:cs="Times New Roman"/>
                <w:sz w:val="24"/>
                <w:szCs w:val="24"/>
              </w:rPr>
              <w:t>biobankų</w:t>
            </w:r>
            <w:proofErr w:type="spellEnd"/>
            <w:r w:rsidRPr="00EF627F">
              <w:rPr>
                <w:rFonts w:ascii="Times New Roman" w:eastAsia="Calibri" w:hAnsi="Times New Roman" w:cs="Times New Roman"/>
                <w:sz w:val="24"/>
                <w:szCs w:val="24"/>
              </w:rPr>
              <w:t xml:space="preserve"> plėtrai, kuriuose būtų sukaupti </w:t>
            </w:r>
            <w:proofErr w:type="spellStart"/>
            <w:r w:rsidRPr="00EF627F">
              <w:rPr>
                <w:rFonts w:ascii="Times New Roman" w:eastAsia="Calibri" w:hAnsi="Times New Roman" w:cs="Times New Roman"/>
                <w:sz w:val="24"/>
                <w:szCs w:val="24"/>
              </w:rPr>
              <w:t>dideliai</w:t>
            </w:r>
            <w:proofErr w:type="spellEnd"/>
            <w:r w:rsidRPr="00EF627F">
              <w:rPr>
                <w:rFonts w:ascii="Times New Roman" w:eastAsia="Calibri" w:hAnsi="Times New Roman" w:cs="Times New Roman"/>
                <w:sz w:val="24"/>
                <w:szCs w:val="24"/>
              </w:rPr>
              <w:t xml:space="preserve"> kiekiai biologinių </w:t>
            </w:r>
            <w:proofErr w:type="spellStart"/>
            <w:r w:rsidRPr="00EF627F">
              <w:rPr>
                <w:rFonts w:ascii="Times New Roman" w:eastAsia="Calibri" w:hAnsi="Times New Roman" w:cs="Times New Roman"/>
                <w:sz w:val="24"/>
                <w:szCs w:val="24"/>
              </w:rPr>
              <w:t>ėminių</w:t>
            </w:r>
            <w:proofErr w:type="spellEnd"/>
            <w:r w:rsidRPr="00EF627F">
              <w:rPr>
                <w:rFonts w:ascii="Times New Roman" w:eastAsia="Calibri" w:hAnsi="Times New Roman" w:cs="Times New Roman"/>
                <w:sz w:val="24"/>
                <w:szCs w:val="24"/>
              </w:rPr>
              <w:t xml:space="preserve"> ir susijusios medicininės informacijos apie ligos diagnozę, gydymą, eigą ir išeitis. </w:t>
            </w:r>
            <w:r w:rsidRPr="00EF627F">
              <w:rPr>
                <w:rFonts w:ascii="Times New Roman" w:eastAsia="Times New Roman" w:hAnsi="Times New Roman" w:cs="Times New Roman"/>
                <w:sz w:val="24"/>
                <w:szCs w:val="24"/>
                <w:lang w:eastAsia="lt-LT"/>
              </w:rPr>
              <w:t xml:space="preserve">Naudojant NVI </w:t>
            </w:r>
            <w:proofErr w:type="spellStart"/>
            <w:r w:rsidRPr="00EF627F">
              <w:rPr>
                <w:rFonts w:ascii="Times New Roman" w:eastAsia="Times New Roman" w:hAnsi="Times New Roman" w:cs="Times New Roman"/>
                <w:sz w:val="24"/>
                <w:szCs w:val="24"/>
                <w:lang w:eastAsia="lt-LT"/>
              </w:rPr>
              <w:t>Biobanke</w:t>
            </w:r>
            <w:proofErr w:type="spellEnd"/>
            <w:r w:rsidRPr="00EF627F">
              <w:rPr>
                <w:rFonts w:ascii="Times New Roman" w:eastAsia="Times New Roman" w:hAnsi="Times New Roman" w:cs="Times New Roman"/>
                <w:sz w:val="24"/>
                <w:szCs w:val="24"/>
                <w:lang w:eastAsia="lt-LT"/>
              </w:rPr>
              <w:t xml:space="preserve"> sukauptus biologinius pacientų </w:t>
            </w:r>
            <w:proofErr w:type="spellStart"/>
            <w:r w:rsidRPr="00EF627F">
              <w:rPr>
                <w:rFonts w:ascii="Times New Roman" w:eastAsia="Times New Roman" w:hAnsi="Times New Roman" w:cs="Times New Roman"/>
                <w:sz w:val="24"/>
                <w:szCs w:val="24"/>
                <w:lang w:eastAsia="lt-LT"/>
              </w:rPr>
              <w:t>ėminius</w:t>
            </w:r>
            <w:proofErr w:type="spellEnd"/>
            <w:r w:rsidRPr="00EF627F">
              <w:rPr>
                <w:rFonts w:ascii="Times New Roman" w:eastAsia="Times New Roman" w:hAnsi="Times New Roman" w:cs="Times New Roman"/>
                <w:sz w:val="24"/>
                <w:szCs w:val="24"/>
                <w:lang w:eastAsia="lt-LT"/>
              </w:rPr>
              <w:t xml:space="preserve"> bei ligos </w:t>
            </w:r>
            <w:proofErr w:type="spellStart"/>
            <w:r w:rsidRPr="00EF627F">
              <w:rPr>
                <w:rFonts w:ascii="Times New Roman" w:eastAsia="Times New Roman" w:hAnsi="Times New Roman" w:cs="Times New Roman"/>
                <w:sz w:val="24"/>
                <w:szCs w:val="24"/>
                <w:lang w:eastAsia="lt-LT"/>
              </w:rPr>
              <w:t>stebėsenos</w:t>
            </w:r>
            <w:proofErr w:type="spellEnd"/>
            <w:r w:rsidRPr="00EF627F">
              <w:rPr>
                <w:rFonts w:ascii="Times New Roman" w:eastAsia="Times New Roman" w:hAnsi="Times New Roman" w:cs="Times New Roman"/>
                <w:sz w:val="24"/>
                <w:szCs w:val="24"/>
                <w:lang w:eastAsia="lt-LT"/>
              </w:rPr>
              <w:t xml:space="preserve"> rezultatus bus ieškoma naujų terapinių taikinių vėžio gydymui, kuriamos priešvėžinės vakcinos bei rengiamos ląstelių ir audinių </w:t>
            </w:r>
            <w:proofErr w:type="spellStart"/>
            <w:r w:rsidRPr="00EF627F">
              <w:rPr>
                <w:rFonts w:ascii="Times New Roman" w:eastAsia="Times New Roman" w:hAnsi="Times New Roman" w:cs="Times New Roman"/>
                <w:sz w:val="24"/>
                <w:szCs w:val="24"/>
                <w:lang w:eastAsia="lt-LT"/>
              </w:rPr>
              <w:t>regeneracinių</w:t>
            </w:r>
            <w:proofErr w:type="spellEnd"/>
            <w:r w:rsidRPr="00EF627F">
              <w:rPr>
                <w:rFonts w:ascii="Times New Roman" w:eastAsia="Times New Roman" w:hAnsi="Times New Roman" w:cs="Times New Roman"/>
                <w:sz w:val="24"/>
                <w:szCs w:val="24"/>
                <w:lang w:eastAsia="lt-LT"/>
              </w:rPr>
              <w:t xml:space="preserve"> technologijų diegimo į kliniką rekomendacijos.</w:t>
            </w:r>
          </w:p>
        </w:tc>
      </w:tr>
      <w:tr w:rsidR="00EF627F" w:rsidRPr="00EF627F" w14:paraId="7329654A" w14:textId="77777777" w:rsidTr="00444D77">
        <w:tc>
          <w:tcPr>
            <w:tcW w:w="9749" w:type="dxa"/>
            <w:shd w:val="clear" w:color="auto" w:fill="auto"/>
          </w:tcPr>
          <w:p w14:paraId="732964CF" w14:textId="77777777" w:rsidR="00EF627F" w:rsidRPr="00EF627F" w:rsidRDefault="00EF627F" w:rsidP="00EF627F">
            <w:pPr>
              <w:spacing w:after="0" w:line="240" w:lineRule="auto"/>
              <w:jc w:val="both"/>
              <w:rPr>
                <w:rFonts w:ascii="Times New Roman" w:eastAsia="Times New Roman" w:hAnsi="Times New Roman" w:cs="Times New Roman"/>
                <w:b/>
                <w:sz w:val="24"/>
                <w:szCs w:val="24"/>
                <w:lang w:eastAsia="lt-LT"/>
              </w:rPr>
            </w:pPr>
            <w:r w:rsidRPr="00EF627F">
              <w:rPr>
                <w:rFonts w:ascii="Times New Roman" w:eastAsia="Times New Roman" w:hAnsi="Times New Roman" w:cs="Times New Roman"/>
                <w:b/>
                <w:sz w:val="24"/>
                <w:szCs w:val="24"/>
                <w:lang w:eastAsia="lt-LT"/>
              </w:rPr>
              <w:lastRenderedPageBreak/>
              <w:t xml:space="preserve">    5. Tyrimų etapai ir jų charakteristikos; detalus įgyvendinimo planas</w:t>
            </w:r>
          </w:p>
          <w:p w14:paraId="732964D0" w14:textId="77777777" w:rsidR="00EF627F" w:rsidRPr="00EF627F" w:rsidRDefault="00EF627F" w:rsidP="00EF627F">
            <w:pPr>
              <w:spacing w:after="0" w:line="240" w:lineRule="auto"/>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Uždavinio įgyvendinimui bus taikomos šios priemonės:</w:t>
            </w:r>
          </w:p>
          <w:p w14:paraId="732964D1" w14:textId="77777777" w:rsidR="00EF627F" w:rsidRPr="00EF627F" w:rsidRDefault="00EF627F" w:rsidP="00EF627F">
            <w:pPr>
              <w:spacing w:after="0" w:line="240" w:lineRule="auto"/>
              <w:jc w:val="both"/>
              <w:rPr>
                <w:rFonts w:ascii="Times New Roman" w:eastAsia="Calibri" w:hAnsi="Times New Roman" w:cs="Times New Roman"/>
                <w:sz w:val="24"/>
                <w:szCs w:val="24"/>
                <w:lang w:eastAsia="lt-LT"/>
              </w:rPr>
            </w:pPr>
            <w:r w:rsidRPr="00EF627F">
              <w:rPr>
                <w:rFonts w:ascii="Times New Roman" w:eastAsia="Times New Roman" w:hAnsi="Times New Roman" w:cs="Times New Roman"/>
                <w:sz w:val="24"/>
                <w:szCs w:val="24"/>
                <w:lang w:eastAsia="lt-LT"/>
              </w:rPr>
              <w:t xml:space="preserve">    5.1.</w:t>
            </w:r>
            <w:r w:rsidRPr="00EF627F">
              <w:rPr>
                <w:rFonts w:ascii="Times New Roman" w:eastAsia="Calibri" w:hAnsi="Times New Roman" w:cs="Times New Roman"/>
                <w:sz w:val="24"/>
                <w:szCs w:val="24"/>
                <w:lang w:eastAsia="lt-LT"/>
              </w:rPr>
              <w:t xml:space="preserve"> Naujų imunologinių priešvėžinių preparatų ir atsako į juos </w:t>
            </w:r>
            <w:proofErr w:type="spellStart"/>
            <w:r w:rsidRPr="00EF627F">
              <w:rPr>
                <w:rFonts w:ascii="Times New Roman" w:eastAsia="Calibri" w:hAnsi="Times New Roman" w:cs="Times New Roman"/>
                <w:sz w:val="24"/>
                <w:szCs w:val="24"/>
                <w:lang w:eastAsia="lt-LT"/>
              </w:rPr>
              <w:t>monitoravimo</w:t>
            </w:r>
            <w:proofErr w:type="spellEnd"/>
            <w:r w:rsidRPr="00EF627F">
              <w:rPr>
                <w:rFonts w:ascii="Times New Roman" w:eastAsia="Calibri" w:hAnsi="Times New Roman" w:cs="Times New Roman"/>
                <w:sz w:val="24"/>
                <w:szCs w:val="24"/>
                <w:lang w:eastAsia="lt-LT"/>
              </w:rPr>
              <w:t xml:space="preserve"> sistemų kūrimas ir </w:t>
            </w:r>
            <w:proofErr w:type="spellStart"/>
            <w:r w:rsidRPr="00EF627F">
              <w:rPr>
                <w:rFonts w:ascii="Times New Roman" w:eastAsia="Calibri" w:hAnsi="Times New Roman" w:cs="Times New Roman"/>
                <w:sz w:val="24"/>
                <w:szCs w:val="24"/>
                <w:lang w:eastAsia="lt-LT"/>
              </w:rPr>
              <w:t>ikiklinikiniai</w:t>
            </w:r>
            <w:proofErr w:type="spellEnd"/>
            <w:r w:rsidRPr="00EF627F">
              <w:rPr>
                <w:rFonts w:ascii="Times New Roman" w:eastAsia="Calibri" w:hAnsi="Times New Roman" w:cs="Times New Roman"/>
                <w:sz w:val="24"/>
                <w:szCs w:val="24"/>
                <w:lang w:eastAsia="lt-LT"/>
              </w:rPr>
              <w:t xml:space="preserve"> tyrimai. </w:t>
            </w:r>
          </w:p>
          <w:p w14:paraId="732964D2" w14:textId="77777777" w:rsidR="00EF627F" w:rsidRPr="00EF627F" w:rsidRDefault="00EF627F" w:rsidP="00EF627F">
            <w:pPr>
              <w:spacing w:after="0" w:line="240" w:lineRule="auto"/>
              <w:jc w:val="both"/>
              <w:rPr>
                <w:rFonts w:ascii="Times New Roman" w:eastAsia="Times New Roman" w:hAnsi="Times New Roman" w:cs="Times New Roman"/>
                <w:sz w:val="24"/>
                <w:szCs w:val="24"/>
              </w:rPr>
            </w:pPr>
            <w:r w:rsidRPr="00EF627F">
              <w:rPr>
                <w:rFonts w:ascii="Times New Roman" w:eastAsia="Calibri" w:hAnsi="Times New Roman" w:cs="Times New Roman"/>
                <w:sz w:val="24"/>
                <w:szCs w:val="24"/>
                <w:lang w:eastAsia="lt-LT"/>
              </w:rPr>
              <w:t xml:space="preserve">Naudojant </w:t>
            </w:r>
            <w:proofErr w:type="spellStart"/>
            <w:r w:rsidRPr="00EF627F">
              <w:rPr>
                <w:rFonts w:ascii="Times New Roman" w:eastAsia="Calibri" w:hAnsi="Times New Roman" w:cs="Times New Roman"/>
                <w:sz w:val="24"/>
                <w:szCs w:val="24"/>
                <w:lang w:eastAsia="lt-LT"/>
              </w:rPr>
              <w:t>generatyvinius</w:t>
            </w:r>
            <w:proofErr w:type="spellEnd"/>
            <w:r w:rsidRPr="00EF627F">
              <w:rPr>
                <w:rFonts w:ascii="Times New Roman" w:eastAsia="Calibri" w:hAnsi="Times New Roman" w:cs="Times New Roman"/>
                <w:sz w:val="24"/>
                <w:szCs w:val="24"/>
                <w:lang w:eastAsia="lt-LT"/>
              </w:rPr>
              <w:t xml:space="preserve"> žinduolių (avies) audinius ir eksperimentinį pelės modelį bus kuriamos priešvėžinės vakcinos melanomai ir plaučių </w:t>
            </w:r>
            <w:proofErr w:type="spellStart"/>
            <w:r w:rsidRPr="00EF627F">
              <w:rPr>
                <w:rFonts w:ascii="Times New Roman" w:eastAsia="Calibri" w:hAnsi="Times New Roman" w:cs="Times New Roman"/>
                <w:sz w:val="24"/>
                <w:szCs w:val="24"/>
                <w:lang w:eastAsia="lt-LT"/>
              </w:rPr>
              <w:t>karcinomai</w:t>
            </w:r>
            <w:proofErr w:type="spellEnd"/>
            <w:r w:rsidRPr="00EF627F">
              <w:rPr>
                <w:rFonts w:ascii="Times New Roman" w:eastAsia="Calibri" w:hAnsi="Times New Roman" w:cs="Times New Roman"/>
                <w:sz w:val="24"/>
                <w:szCs w:val="24"/>
                <w:lang w:eastAsia="lt-LT"/>
              </w:rPr>
              <w:t xml:space="preserve"> gydyti. Šios priemonės įgyvendinimui bus naudojami pelės C57 </w:t>
            </w:r>
            <w:proofErr w:type="spellStart"/>
            <w:r w:rsidRPr="00EF627F">
              <w:rPr>
                <w:rFonts w:ascii="Times New Roman" w:eastAsia="Calibri" w:hAnsi="Times New Roman" w:cs="Times New Roman"/>
                <w:sz w:val="24"/>
                <w:szCs w:val="24"/>
                <w:lang w:eastAsia="lt-LT"/>
              </w:rPr>
              <w:t>black</w:t>
            </w:r>
            <w:proofErr w:type="spellEnd"/>
            <w:r w:rsidRPr="00EF627F">
              <w:rPr>
                <w:rFonts w:ascii="Times New Roman" w:eastAsia="Calibri" w:hAnsi="Times New Roman" w:cs="Times New Roman"/>
                <w:sz w:val="24"/>
                <w:szCs w:val="24"/>
                <w:lang w:eastAsia="lt-LT"/>
              </w:rPr>
              <w:t xml:space="preserve"> ir  B16 melanomos  bei LLC plaučių </w:t>
            </w:r>
            <w:proofErr w:type="spellStart"/>
            <w:r w:rsidRPr="00EF627F">
              <w:rPr>
                <w:rFonts w:ascii="Times New Roman" w:eastAsia="Calibri" w:hAnsi="Times New Roman" w:cs="Times New Roman"/>
                <w:sz w:val="24"/>
                <w:szCs w:val="24"/>
                <w:lang w:eastAsia="lt-LT"/>
              </w:rPr>
              <w:t>karcinomos</w:t>
            </w:r>
            <w:proofErr w:type="spellEnd"/>
            <w:r w:rsidRPr="00EF627F">
              <w:rPr>
                <w:rFonts w:ascii="Times New Roman" w:eastAsia="Calibri" w:hAnsi="Times New Roman" w:cs="Times New Roman"/>
                <w:sz w:val="24"/>
                <w:szCs w:val="24"/>
                <w:lang w:eastAsia="lt-LT"/>
              </w:rPr>
              <w:t xml:space="preserve"> ląstelių linijų navikų modeliai. Bus tiriamas vakcinos </w:t>
            </w:r>
            <w:proofErr w:type="spellStart"/>
            <w:r w:rsidRPr="00EF627F">
              <w:rPr>
                <w:rFonts w:ascii="Times New Roman" w:eastAsia="Calibri" w:hAnsi="Times New Roman" w:cs="Times New Roman"/>
                <w:sz w:val="24"/>
                <w:szCs w:val="24"/>
                <w:lang w:eastAsia="lt-LT"/>
              </w:rPr>
              <w:t>priešmetastatinis</w:t>
            </w:r>
            <w:proofErr w:type="spellEnd"/>
            <w:r w:rsidRPr="00EF627F">
              <w:rPr>
                <w:rFonts w:ascii="Times New Roman" w:eastAsia="Calibri" w:hAnsi="Times New Roman" w:cs="Times New Roman"/>
                <w:sz w:val="24"/>
                <w:szCs w:val="24"/>
                <w:lang w:eastAsia="lt-LT"/>
              </w:rPr>
              <w:t xml:space="preserve"> aktyvumas, poveikis išgyvenimui bei </w:t>
            </w:r>
            <w:proofErr w:type="spellStart"/>
            <w:r w:rsidRPr="00EF627F">
              <w:rPr>
                <w:rFonts w:ascii="Times New Roman" w:eastAsia="Calibri" w:hAnsi="Times New Roman" w:cs="Times New Roman"/>
                <w:sz w:val="24"/>
                <w:szCs w:val="24"/>
                <w:lang w:eastAsia="lt-LT"/>
              </w:rPr>
              <w:t>imunininio</w:t>
            </w:r>
            <w:proofErr w:type="spellEnd"/>
            <w:r w:rsidRPr="00EF627F">
              <w:rPr>
                <w:rFonts w:ascii="Times New Roman" w:eastAsia="Calibri" w:hAnsi="Times New Roman" w:cs="Times New Roman"/>
                <w:sz w:val="24"/>
                <w:szCs w:val="24"/>
                <w:lang w:eastAsia="lt-LT"/>
              </w:rPr>
              <w:t xml:space="preserve"> atsako moduliavimui (bus vertinami imuninio atsako Th1/ Th2/ </w:t>
            </w:r>
            <w:proofErr w:type="spellStart"/>
            <w:r w:rsidRPr="00EF627F">
              <w:rPr>
                <w:rFonts w:ascii="Times New Roman" w:eastAsia="Calibri" w:hAnsi="Times New Roman" w:cs="Times New Roman"/>
                <w:sz w:val="24"/>
                <w:szCs w:val="24"/>
                <w:lang w:eastAsia="lt-LT"/>
              </w:rPr>
              <w:t>Treg</w:t>
            </w:r>
            <w:proofErr w:type="spellEnd"/>
            <w:r w:rsidRPr="00EF627F">
              <w:rPr>
                <w:rFonts w:ascii="Times New Roman" w:eastAsia="Calibri" w:hAnsi="Times New Roman" w:cs="Times New Roman"/>
                <w:sz w:val="24"/>
                <w:szCs w:val="24"/>
                <w:lang w:eastAsia="lt-LT"/>
              </w:rPr>
              <w:t xml:space="preserve"> profilių skirtumai limfocitų populiacijų bei išskiriamų </w:t>
            </w:r>
            <w:proofErr w:type="spellStart"/>
            <w:r w:rsidRPr="00EF627F">
              <w:rPr>
                <w:rFonts w:ascii="Times New Roman" w:eastAsia="Calibri" w:hAnsi="Times New Roman" w:cs="Times New Roman"/>
                <w:sz w:val="24"/>
                <w:szCs w:val="24"/>
                <w:lang w:eastAsia="lt-LT"/>
              </w:rPr>
              <w:t>citokinų</w:t>
            </w:r>
            <w:proofErr w:type="spellEnd"/>
            <w:r w:rsidRPr="00EF627F">
              <w:rPr>
                <w:rFonts w:ascii="Times New Roman" w:eastAsia="Calibri" w:hAnsi="Times New Roman" w:cs="Times New Roman"/>
                <w:sz w:val="24"/>
                <w:szCs w:val="24"/>
                <w:lang w:eastAsia="lt-LT"/>
              </w:rPr>
              <w:t xml:space="preserve"> lygmenyje). Kuriant prognostinių žymenų sistemas imunoterapijos efektyvumo vertinimui, bus vertinami imuninių žymenų skirtumai kiaušidžių vėžiu sergančių pacienčių navikuose ir kraujyje. Bus palyginti limfocitų populiacijų, išskiriamų </w:t>
            </w:r>
            <w:proofErr w:type="spellStart"/>
            <w:r w:rsidRPr="00EF627F">
              <w:rPr>
                <w:rFonts w:ascii="Times New Roman" w:eastAsia="Calibri" w:hAnsi="Times New Roman" w:cs="Times New Roman"/>
                <w:sz w:val="24"/>
                <w:szCs w:val="24"/>
                <w:lang w:eastAsia="lt-LT"/>
              </w:rPr>
              <w:t>citokinų</w:t>
            </w:r>
            <w:proofErr w:type="spellEnd"/>
            <w:r w:rsidRPr="00EF627F">
              <w:rPr>
                <w:rFonts w:ascii="Times New Roman" w:eastAsia="Calibri" w:hAnsi="Times New Roman" w:cs="Times New Roman"/>
                <w:sz w:val="24"/>
                <w:szCs w:val="24"/>
                <w:lang w:eastAsia="lt-LT"/>
              </w:rPr>
              <w:t xml:space="preserve"> ir </w:t>
            </w:r>
            <w:proofErr w:type="spellStart"/>
            <w:r w:rsidRPr="00EF627F">
              <w:rPr>
                <w:rFonts w:ascii="Times New Roman" w:eastAsia="Calibri" w:hAnsi="Times New Roman" w:cs="Times New Roman"/>
                <w:sz w:val="24"/>
                <w:szCs w:val="24"/>
                <w:lang w:eastAsia="lt-LT"/>
              </w:rPr>
              <w:t>infiltratų</w:t>
            </w:r>
            <w:proofErr w:type="spellEnd"/>
            <w:r w:rsidRPr="00EF627F">
              <w:rPr>
                <w:rFonts w:ascii="Times New Roman" w:eastAsia="Calibri" w:hAnsi="Times New Roman" w:cs="Times New Roman"/>
                <w:sz w:val="24"/>
                <w:szCs w:val="24"/>
                <w:lang w:eastAsia="lt-LT"/>
              </w:rPr>
              <w:t xml:space="preserve"> į navikinį audinių profiliai autologinėmis </w:t>
            </w:r>
            <w:proofErr w:type="spellStart"/>
            <w:r w:rsidRPr="00EF627F">
              <w:rPr>
                <w:rFonts w:ascii="Times New Roman" w:eastAsia="Calibri" w:hAnsi="Times New Roman" w:cs="Times New Roman"/>
                <w:sz w:val="24"/>
                <w:szCs w:val="24"/>
                <w:lang w:eastAsia="lt-LT"/>
              </w:rPr>
              <w:t>dendritinių</w:t>
            </w:r>
            <w:proofErr w:type="spellEnd"/>
            <w:r w:rsidRPr="00EF627F">
              <w:rPr>
                <w:rFonts w:ascii="Times New Roman" w:eastAsia="Calibri" w:hAnsi="Times New Roman" w:cs="Times New Roman"/>
                <w:sz w:val="24"/>
                <w:szCs w:val="24"/>
                <w:lang w:eastAsia="lt-LT"/>
              </w:rPr>
              <w:t xml:space="preserve"> ląstelių vakcinomis gydytoms pacientėms, kurioms šis gydymas bus skirtas šalia standartinės chemoterapijos (lyginant su pacientėmis, gydytomis tik standartine chemoterapija).</w:t>
            </w:r>
            <w:r w:rsidRPr="00EF627F">
              <w:rPr>
                <w:rFonts w:ascii="Times New Roman" w:eastAsia="Times New Roman" w:hAnsi="Times New Roman" w:cs="Times New Roman"/>
                <w:sz w:val="24"/>
                <w:szCs w:val="24"/>
              </w:rPr>
              <w:t xml:space="preserve"> Krūties vėžiu sergančių pacienčių navikuose bus vertinama naviką infiltruojančių </w:t>
            </w:r>
            <w:proofErr w:type="spellStart"/>
            <w:r w:rsidRPr="00EF627F">
              <w:rPr>
                <w:rFonts w:ascii="Times New Roman" w:eastAsia="Times New Roman" w:hAnsi="Times New Roman" w:cs="Times New Roman"/>
                <w:sz w:val="24"/>
                <w:szCs w:val="24"/>
              </w:rPr>
              <w:t>citotoksinių</w:t>
            </w:r>
            <w:proofErr w:type="spellEnd"/>
            <w:r w:rsidRPr="00EF627F">
              <w:rPr>
                <w:rFonts w:ascii="Times New Roman" w:eastAsia="Times New Roman" w:hAnsi="Times New Roman" w:cs="Times New Roman"/>
                <w:sz w:val="24"/>
                <w:szCs w:val="24"/>
              </w:rPr>
              <w:t xml:space="preserve"> limfocitų imuninio atsako patikros žymenų (PD1, PDL1, TIM3) raiška, tiriami imuninio atsako rodikliai (TNF-α, IL-10, VEGF, MMP...) sergančiųjų kraujyje. </w:t>
            </w:r>
            <w:r w:rsidRPr="00EF627F">
              <w:rPr>
                <w:rFonts w:ascii="Times New Roman" w:eastAsia="Times New Roman" w:hAnsi="Times New Roman" w:cs="Times New Roman"/>
                <w:sz w:val="24"/>
                <w:szCs w:val="24"/>
                <w:lang w:eastAsia="lt-LT"/>
              </w:rPr>
              <w:t xml:space="preserve">Taip pat bus atlikta </w:t>
            </w:r>
            <w:proofErr w:type="spellStart"/>
            <w:r w:rsidRPr="00EF627F">
              <w:rPr>
                <w:rFonts w:ascii="Times New Roman" w:eastAsia="Times New Roman" w:hAnsi="Times New Roman" w:cs="Times New Roman"/>
                <w:sz w:val="24"/>
                <w:szCs w:val="24"/>
                <w:lang w:eastAsia="lt-LT"/>
              </w:rPr>
              <w:t>nesmulkialąstelinio</w:t>
            </w:r>
            <w:proofErr w:type="spellEnd"/>
            <w:r w:rsidRPr="00EF627F">
              <w:rPr>
                <w:rFonts w:ascii="Times New Roman" w:eastAsia="Times New Roman" w:hAnsi="Times New Roman" w:cs="Times New Roman"/>
                <w:sz w:val="24"/>
                <w:szCs w:val="24"/>
                <w:lang w:eastAsia="lt-LT"/>
              </w:rPr>
              <w:t xml:space="preserve"> plaučių vėžio imuninės mikroaplinkos analizė bei įvertinta jos prognostinė ir </w:t>
            </w:r>
            <w:proofErr w:type="spellStart"/>
            <w:r w:rsidRPr="00EF627F">
              <w:rPr>
                <w:rFonts w:ascii="Times New Roman" w:eastAsia="Times New Roman" w:hAnsi="Times New Roman" w:cs="Times New Roman"/>
                <w:sz w:val="24"/>
                <w:szCs w:val="24"/>
                <w:lang w:eastAsia="lt-LT"/>
              </w:rPr>
              <w:t>predikcinė</w:t>
            </w:r>
            <w:proofErr w:type="spellEnd"/>
            <w:r w:rsidRPr="00EF627F">
              <w:rPr>
                <w:rFonts w:ascii="Times New Roman" w:eastAsia="Times New Roman" w:hAnsi="Times New Roman" w:cs="Times New Roman"/>
                <w:sz w:val="24"/>
                <w:szCs w:val="24"/>
                <w:lang w:eastAsia="lt-LT"/>
              </w:rPr>
              <w:t xml:space="preserve"> vertė.</w:t>
            </w:r>
          </w:p>
          <w:p w14:paraId="732964D3" w14:textId="77777777" w:rsidR="00EF627F" w:rsidRPr="00EF627F" w:rsidRDefault="00EF627F" w:rsidP="00EF627F">
            <w:pPr>
              <w:spacing w:after="0" w:line="240" w:lineRule="auto"/>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 xml:space="preserve">    5.2. Priešvėžinės terapijos veiksmingumo ir šalutinio poveikio vertinimas. </w:t>
            </w:r>
          </w:p>
          <w:p w14:paraId="732964D4" w14:textId="77777777" w:rsidR="00EF627F" w:rsidRPr="00EF627F" w:rsidRDefault="00EF627F" w:rsidP="00EF627F">
            <w:pPr>
              <w:spacing w:after="0" w:line="240" w:lineRule="auto"/>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 xml:space="preserve">Įgyvendinant šią priemonę, bus vertinama molekulinių žymenų (genų CDK1, RAD51, THBS1, PCNA, IL29, IFITM1, IFIT1, OAS2), kurių raiška kito žmogaus gaubtinės žarnos </w:t>
            </w:r>
            <w:proofErr w:type="spellStart"/>
            <w:r w:rsidRPr="00EF627F">
              <w:rPr>
                <w:rFonts w:ascii="Times New Roman" w:eastAsia="Times New Roman" w:hAnsi="Times New Roman" w:cs="Times New Roman"/>
                <w:sz w:val="24"/>
                <w:szCs w:val="24"/>
                <w:lang w:eastAsia="lt-LT"/>
              </w:rPr>
              <w:t>karcinomos</w:t>
            </w:r>
            <w:proofErr w:type="spellEnd"/>
            <w:r w:rsidRPr="00EF627F">
              <w:rPr>
                <w:rFonts w:ascii="Times New Roman" w:eastAsia="Times New Roman" w:hAnsi="Times New Roman" w:cs="Times New Roman"/>
                <w:sz w:val="24"/>
                <w:szCs w:val="24"/>
                <w:lang w:eastAsia="lt-LT"/>
              </w:rPr>
              <w:t xml:space="preserve"> DLD1 ir HT29 linijų ląstelėse dėl poveikio </w:t>
            </w:r>
            <w:proofErr w:type="spellStart"/>
            <w:r w:rsidRPr="00EF627F">
              <w:rPr>
                <w:rFonts w:ascii="Times New Roman" w:eastAsia="Times New Roman" w:hAnsi="Times New Roman" w:cs="Times New Roman"/>
                <w:sz w:val="24"/>
                <w:szCs w:val="24"/>
                <w:lang w:eastAsia="lt-LT"/>
              </w:rPr>
              <w:t>frakcionuotos</w:t>
            </w:r>
            <w:proofErr w:type="spellEnd"/>
            <w:r w:rsidRPr="00EF627F">
              <w:rPr>
                <w:rFonts w:ascii="Times New Roman" w:eastAsia="Times New Roman" w:hAnsi="Times New Roman" w:cs="Times New Roman"/>
                <w:sz w:val="24"/>
                <w:szCs w:val="24"/>
                <w:lang w:eastAsia="lt-LT"/>
              </w:rPr>
              <w:t xml:space="preserve"> dozės jonizuojančiąja spinduliuote, raiška tiesiosios žarnos pacientų navikuose iki ir po spindulinės terapijos 5x5 </w:t>
            </w:r>
            <w:proofErr w:type="spellStart"/>
            <w:r w:rsidRPr="00EF627F">
              <w:rPr>
                <w:rFonts w:ascii="Times New Roman" w:eastAsia="Times New Roman" w:hAnsi="Times New Roman" w:cs="Times New Roman"/>
                <w:sz w:val="24"/>
                <w:szCs w:val="24"/>
                <w:lang w:eastAsia="lt-LT"/>
              </w:rPr>
              <w:t>Gy</w:t>
            </w:r>
            <w:proofErr w:type="spellEnd"/>
            <w:r w:rsidRPr="00EF627F">
              <w:rPr>
                <w:rFonts w:ascii="Times New Roman" w:eastAsia="Times New Roman" w:hAnsi="Times New Roman" w:cs="Times New Roman"/>
                <w:sz w:val="24"/>
                <w:szCs w:val="24"/>
                <w:lang w:eastAsia="lt-LT"/>
              </w:rPr>
              <w:t xml:space="preserve"> kurso, bus vertinama molekulinių žymenų sąsaja su ligos klinikinės eigos rodikliais. Bus palygintas vidutinės rizikos prostatos vėžiu sergančių pacientų aukštos galios </w:t>
            </w:r>
            <w:proofErr w:type="spellStart"/>
            <w:r w:rsidRPr="00EF627F">
              <w:rPr>
                <w:rFonts w:ascii="Times New Roman" w:eastAsia="Times New Roman" w:hAnsi="Times New Roman" w:cs="Times New Roman"/>
                <w:sz w:val="24"/>
                <w:szCs w:val="24"/>
                <w:lang w:eastAsia="lt-LT"/>
              </w:rPr>
              <w:t>brachiterapijos</w:t>
            </w:r>
            <w:proofErr w:type="spellEnd"/>
            <w:r w:rsidRPr="00EF627F">
              <w:rPr>
                <w:rFonts w:ascii="Times New Roman" w:eastAsia="Times New Roman" w:hAnsi="Times New Roman" w:cs="Times New Roman"/>
                <w:sz w:val="24"/>
                <w:szCs w:val="24"/>
                <w:lang w:eastAsia="lt-LT"/>
              </w:rPr>
              <w:t xml:space="preserve"> ir suderinto spindulinio gydymo efektyvumas ir saugumas. Gydymo efektyvumas bus </w:t>
            </w:r>
            <w:proofErr w:type="spellStart"/>
            <w:r w:rsidRPr="00EF627F">
              <w:rPr>
                <w:rFonts w:ascii="Times New Roman" w:eastAsia="Times New Roman" w:hAnsi="Times New Roman" w:cs="Times New Roman"/>
                <w:sz w:val="24"/>
                <w:szCs w:val="24"/>
                <w:lang w:eastAsia="lt-LT"/>
              </w:rPr>
              <w:t>monitoruojamas</w:t>
            </w:r>
            <w:proofErr w:type="spellEnd"/>
            <w:r w:rsidRPr="00EF627F">
              <w:rPr>
                <w:rFonts w:ascii="Times New Roman" w:eastAsia="Times New Roman" w:hAnsi="Times New Roman" w:cs="Times New Roman"/>
                <w:sz w:val="24"/>
                <w:szCs w:val="24"/>
                <w:lang w:eastAsia="lt-LT"/>
              </w:rPr>
              <w:t xml:space="preserve"> pasitelkus prostatos vėžiui specifinį PSMA žymenį. Taip pat bus vertinami esamų kastracijai atsparaus prostatos vėžio (KAPV) gydymo priemonių (</w:t>
            </w:r>
            <w:proofErr w:type="spellStart"/>
            <w:r w:rsidRPr="00EF627F">
              <w:rPr>
                <w:rFonts w:ascii="Times New Roman" w:eastAsia="Times New Roman" w:hAnsi="Times New Roman" w:cs="Times New Roman"/>
                <w:sz w:val="24"/>
                <w:szCs w:val="24"/>
                <w:lang w:eastAsia="lt-LT"/>
              </w:rPr>
              <w:t>taksanai</w:t>
            </w:r>
            <w:proofErr w:type="spellEnd"/>
            <w:r w:rsidRPr="00EF627F">
              <w:rPr>
                <w:rFonts w:ascii="Times New Roman" w:eastAsia="Times New Roman" w:hAnsi="Times New Roman" w:cs="Times New Roman"/>
                <w:sz w:val="24"/>
                <w:szCs w:val="24"/>
                <w:lang w:eastAsia="lt-LT"/>
              </w:rPr>
              <w:t xml:space="preserve">, </w:t>
            </w:r>
            <w:proofErr w:type="spellStart"/>
            <w:r w:rsidRPr="00EF627F">
              <w:rPr>
                <w:rFonts w:ascii="Times New Roman" w:eastAsia="Times New Roman" w:hAnsi="Times New Roman" w:cs="Times New Roman"/>
                <w:sz w:val="24"/>
                <w:szCs w:val="24"/>
                <w:lang w:eastAsia="lt-LT"/>
              </w:rPr>
              <w:t>taikininiai</w:t>
            </w:r>
            <w:proofErr w:type="spellEnd"/>
            <w:r w:rsidRPr="00EF627F">
              <w:rPr>
                <w:rFonts w:ascii="Times New Roman" w:eastAsia="Times New Roman" w:hAnsi="Times New Roman" w:cs="Times New Roman"/>
                <w:sz w:val="24"/>
                <w:szCs w:val="24"/>
                <w:lang w:eastAsia="lt-LT"/>
              </w:rPr>
              <w:t xml:space="preserve"> AR-blokatoriai, Ra-223) veiksmingumas, kuriamos klinikinių ir molekulinių žymenų (</w:t>
            </w:r>
            <w:proofErr w:type="spellStart"/>
            <w:r w:rsidRPr="00EF627F">
              <w:rPr>
                <w:rFonts w:ascii="Times New Roman" w:eastAsia="Times New Roman" w:hAnsi="Times New Roman" w:cs="Times New Roman"/>
                <w:sz w:val="24"/>
                <w:szCs w:val="24"/>
                <w:lang w:eastAsia="lt-LT"/>
              </w:rPr>
              <w:t>miRNR</w:t>
            </w:r>
            <w:proofErr w:type="spellEnd"/>
            <w:r w:rsidRPr="00EF627F">
              <w:rPr>
                <w:rFonts w:ascii="Times New Roman" w:eastAsia="Times New Roman" w:hAnsi="Times New Roman" w:cs="Times New Roman"/>
                <w:sz w:val="24"/>
                <w:szCs w:val="24"/>
                <w:lang w:eastAsia="lt-LT"/>
              </w:rPr>
              <w:t xml:space="preserve">, </w:t>
            </w:r>
            <w:proofErr w:type="spellStart"/>
            <w:r w:rsidRPr="00EF627F">
              <w:rPr>
                <w:rFonts w:ascii="Times New Roman" w:eastAsia="Times New Roman" w:hAnsi="Times New Roman" w:cs="Times New Roman"/>
                <w:sz w:val="24"/>
                <w:szCs w:val="24"/>
                <w:lang w:eastAsia="lt-LT"/>
              </w:rPr>
              <w:t>metilintos</w:t>
            </w:r>
            <w:proofErr w:type="spellEnd"/>
            <w:r w:rsidRPr="00EF627F">
              <w:rPr>
                <w:rFonts w:ascii="Times New Roman" w:eastAsia="Times New Roman" w:hAnsi="Times New Roman" w:cs="Times New Roman"/>
                <w:sz w:val="24"/>
                <w:szCs w:val="24"/>
                <w:lang w:eastAsia="lt-LT"/>
              </w:rPr>
              <w:t xml:space="preserve"> DNR, mutacijų tyrimai) sistemos individualiam tinkamiausių gydymo schemų parinkimui.</w:t>
            </w:r>
            <w:r w:rsidRPr="00EF627F">
              <w:rPr>
                <w:rFonts w:ascii="Times New Roman" w:eastAsia="Calibri" w:hAnsi="Times New Roman" w:cs="Times New Roman"/>
                <w:sz w:val="24"/>
                <w:szCs w:val="24"/>
                <w:lang w:eastAsia="lt-LT"/>
              </w:rPr>
              <w:t xml:space="preserve"> Gaubtinės žarnos </w:t>
            </w:r>
            <w:proofErr w:type="spellStart"/>
            <w:r w:rsidRPr="00EF627F">
              <w:rPr>
                <w:rFonts w:ascii="Times New Roman" w:eastAsia="Calibri" w:hAnsi="Times New Roman" w:cs="Times New Roman"/>
                <w:sz w:val="24"/>
                <w:szCs w:val="24"/>
                <w:lang w:eastAsia="lt-LT"/>
              </w:rPr>
              <w:t>karcinomos</w:t>
            </w:r>
            <w:proofErr w:type="spellEnd"/>
            <w:r w:rsidRPr="00EF627F">
              <w:rPr>
                <w:rFonts w:ascii="Times New Roman" w:eastAsia="Calibri" w:hAnsi="Times New Roman" w:cs="Times New Roman"/>
                <w:sz w:val="24"/>
                <w:szCs w:val="24"/>
                <w:lang w:eastAsia="lt-LT"/>
              </w:rPr>
              <w:t xml:space="preserve"> DLD1 ir HT29 linijų </w:t>
            </w:r>
            <w:proofErr w:type="spellStart"/>
            <w:r w:rsidRPr="00EF627F">
              <w:rPr>
                <w:rFonts w:ascii="Times New Roman" w:eastAsia="Calibri" w:hAnsi="Times New Roman" w:cs="Times New Roman"/>
                <w:sz w:val="24"/>
                <w:szCs w:val="24"/>
                <w:lang w:eastAsia="lt-LT"/>
              </w:rPr>
              <w:t>monosluoksnio</w:t>
            </w:r>
            <w:proofErr w:type="spellEnd"/>
            <w:r w:rsidRPr="00EF627F">
              <w:rPr>
                <w:rFonts w:ascii="Times New Roman" w:eastAsia="Calibri" w:hAnsi="Times New Roman" w:cs="Times New Roman"/>
                <w:sz w:val="24"/>
                <w:szCs w:val="24"/>
                <w:lang w:eastAsia="lt-LT"/>
              </w:rPr>
              <w:t xml:space="preserve"> ar erdvinėje ląstelių kultūrose atliksime visuminę </w:t>
            </w:r>
            <w:proofErr w:type="spellStart"/>
            <w:r w:rsidRPr="00EF627F">
              <w:rPr>
                <w:rFonts w:ascii="Times New Roman" w:eastAsia="Calibri" w:hAnsi="Times New Roman" w:cs="Times New Roman"/>
                <w:sz w:val="24"/>
                <w:szCs w:val="24"/>
                <w:lang w:eastAsia="lt-LT"/>
              </w:rPr>
              <w:t>miRNR</w:t>
            </w:r>
            <w:proofErr w:type="spellEnd"/>
            <w:r w:rsidRPr="00EF627F">
              <w:rPr>
                <w:rFonts w:ascii="Times New Roman" w:eastAsia="Calibri" w:hAnsi="Times New Roman" w:cs="Times New Roman"/>
                <w:sz w:val="24"/>
                <w:szCs w:val="24"/>
                <w:lang w:eastAsia="lt-LT"/>
              </w:rPr>
              <w:t xml:space="preserve"> raiškos analizę. Atrinktas </w:t>
            </w:r>
            <w:proofErr w:type="spellStart"/>
            <w:r w:rsidRPr="00EF627F">
              <w:rPr>
                <w:rFonts w:ascii="Times New Roman" w:eastAsia="Calibri" w:hAnsi="Times New Roman" w:cs="Times New Roman"/>
                <w:sz w:val="24"/>
                <w:szCs w:val="24"/>
                <w:lang w:eastAsia="lt-LT"/>
              </w:rPr>
              <w:t>miRNR</w:t>
            </w:r>
            <w:proofErr w:type="spellEnd"/>
            <w:r w:rsidRPr="00EF627F">
              <w:rPr>
                <w:rFonts w:ascii="Times New Roman" w:eastAsia="Calibri" w:hAnsi="Times New Roman" w:cs="Times New Roman"/>
                <w:sz w:val="24"/>
                <w:szCs w:val="24"/>
                <w:lang w:eastAsia="lt-LT"/>
              </w:rPr>
              <w:t xml:space="preserve"> tirsime storosios žarnos </w:t>
            </w:r>
            <w:proofErr w:type="spellStart"/>
            <w:r w:rsidRPr="00EF627F">
              <w:rPr>
                <w:rFonts w:ascii="Times New Roman" w:eastAsia="Calibri" w:hAnsi="Times New Roman" w:cs="Times New Roman"/>
                <w:sz w:val="24"/>
                <w:szCs w:val="24"/>
                <w:lang w:eastAsia="lt-LT"/>
              </w:rPr>
              <w:t>karcinomos</w:t>
            </w:r>
            <w:proofErr w:type="spellEnd"/>
            <w:r w:rsidRPr="00EF627F">
              <w:rPr>
                <w:rFonts w:ascii="Times New Roman" w:eastAsia="Calibri" w:hAnsi="Times New Roman" w:cs="Times New Roman"/>
                <w:sz w:val="24"/>
                <w:szCs w:val="24"/>
                <w:lang w:eastAsia="lt-LT"/>
              </w:rPr>
              <w:t xml:space="preserve"> pacientų kraujyje iki ir po naviko chirurginio pašalinimo bei paciento stebėjimo laikotarpiu. Bus įvertinta </w:t>
            </w:r>
            <w:proofErr w:type="spellStart"/>
            <w:r w:rsidRPr="00EF627F">
              <w:rPr>
                <w:rFonts w:ascii="Times New Roman" w:eastAsia="Calibri" w:hAnsi="Times New Roman" w:cs="Times New Roman"/>
                <w:sz w:val="24"/>
                <w:szCs w:val="24"/>
                <w:lang w:eastAsia="lt-LT"/>
              </w:rPr>
              <w:t>miRNR</w:t>
            </w:r>
            <w:proofErr w:type="spellEnd"/>
            <w:r w:rsidRPr="00EF627F">
              <w:rPr>
                <w:rFonts w:ascii="Times New Roman" w:eastAsia="Calibri" w:hAnsi="Times New Roman" w:cs="Times New Roman"/>
                <w:sz w:val="24"/>
                <w:szCs w:val="24"/>
                <w:lang w:eastAsia="lt-LT"/>
              </w:rPr>
              <w:t xml:space="preserve"> svarba </w:t>
            </w:r>
            <w:proofErr w:type="spellStart"/>
            <w:r w:rsidRPr="00EF627F">
              <w:rPr>
                <w:rFonts w:ascii="Times New Roman" w:eastAsia="Calibri" w:hAnsi="Times New Roman" w:cs="Times New Roman"/>
                <w:sz w:val="24"/>
                <w:szCs w:val="24"/>
                <w:lang w:eastAsia="lt-LT"/>
              </w:rPr>
              <w:t>metastazavimo</w:t>
            </w:r>
            <w:proofErr w:type="spellEnd"/>
            <w:r w:rsidRPr="00EF627F">
              <w:rPr>
                <w:rFonts w:ascii="Times New Roman" w:eastAsia="Calibri" w:hAnsi="Times New Roman" w:cs="Times New Roman"/>
                <w:sz w:val="24"/>
                <w:szCs w:val="24"/>
                <w:lang w:eastAsia="lt-LT"/>
              </w:rPr>
              <w:t xml:space="preserve"> procesui, tiriant </w:t>
            </w:r>
            <w:r w:rsidRPr="00EF627F">
              <w:rPr>
                <w:rFonts w:ascii="Times New Roman" w:eastAsia="Times New Roman" w:hAnsi="Times New Roman" w:cs="Times New Roman"/>
                <w:sz w:val="24"/>
                <w:szCs w:val="24"/>
                <w:lang w:eastAsia="lt-LT"/>
              </w:rPr>
              <w:t xml:space="preserve">pelės </w:t>
            </w:r>
            <w:proofErr w:type="spellStart"/>
            <w:r w:rsidRPr="00EF627F">
              <w:rPr>
                <w:rFonts w:ascii="Times New Roman" w:eastAsia="Times New Roman" w:hAnsi="Times New Roman" w:cs="Times New Roman"/>
                <w:sz w:val="24"/>
                <w:szCs w:val="24"/>
                <w:lang w:eastAsia="lt-LT"/>
              </w:rPr>
              <w:t>Lewis</w:t>
            </w:r>
            <w:proofErr w:type="spellEnd"/>
            <w:r w:rsidRPr="00EF627F">
              <w:rPr>
                <w:rFonts w:ascii="Times New Roman" w:eastAsia="Times New Roman" w:hAnsi="Times New Roman" w:cs="Times New Roman"/>
                <w:sz w:val="24"/>
                <w:szCs w:val="24"/>
                <w:lang w:eastAsia="lt-LT"/>
              </w:rPr>
              <w:t xml:space="preserve"> plaučių </w:t>
            </w:r>
            <w:proofErr w:type="spellStart"/>
            <w:r w:rsidRPr="00EF627F">
              <w:rPr>
                <w:rFonts w:ascii="Times New Roman" w:eastAsia="Times New Roman" w:hAnsi="Times New Roman" w:cs="Times New Roman"/>
                <w:sz w:val="24"/>
                <w:szCs w:val="24"/>
                <w:lang w:eastAsia="lt-LT"/>
              </w:rPr>
              <w:t>karcinomos</w:t>
            </w:r>
            <w:proofErr w:type="spellEnd"/>
            <w:r w:rsidRPr="00EF627F">
              <w:rPr>
                <w:rFonts w:ascii="Times New Roman" w:eastAsia="Times New Roman" w:hAnsi="Times New Roman" w:cs="Times New Roman"/>
                <w:sz w:val="24"/>
                <w:szCs w:val="24"/>
                <w:lang w:eastAsia="lt-LT"/>
              </w:rPr>
              <w:t xml:space="preserve"> LLC1 linijos ląsteles, auginamas </w:t>
            </w:r>
            <w:proofErr w:type="spellStart"/>
            <w:r w:rsidRPr="00EF627F">
              <w:rPr>
                <w:rFonts w:ascii="Times New Roman" w:eastAsia="Times New Roman" w:hAnsi="Times New Roman" w:cs="Times New Roman"/>
                <w:sz w:val="24"/>
                <w:szCs w:val="24"/>
                <w:lang w:eastAsia="lt-LT"/>
              </w:rPr>
              <w:t>monosluoksnio</w:t>
            </w:r>
            <w:proofErr w:type="spellEnd"/>
            <w:r w:rsidRPr="00EF627F">
              <w:rPr>
                <w:rFonts w:ascii="Times New Roman" w:eastAsia="Times New Roman" w:hAnsi="Times New Roman" w:cs="Times New Roman"/>
                <w:sz w:val="24"/>
                <w:szCs w:val="24"/>
                <w:lang w:eastAsia="lt-LT"/>
              </w:rPr>
              <w:t xml:space="preserve"> ar erdvinėje ląstelių kultūroje.</w:t>
            </w:r>
            <w:r w:rsidRPr="00EF627F">
              <w:rPr>
                <w:rFonts w:ascii="Times New Roman" w:eastAsia="Calibri" w:hAnsi="Times New Roman" w:cs="Times New Roman"/>
                <w:sz w:val="24"/>
                <w:szCs w:val="24"/>
                <w:lang w:eastAsia="lt-LT"/>
              </w:rPr>
              <w:t xml:space="preserve"> </w:t>
            </w:r>
            <w:r w:rsidRPr="00EF627F">
              <w:rPr>
                <w:rFonts w:ascii="Times New Roman" w:eastAsia="Times New Roman" w:hAnsi="Times New Roman" w:cs="Times New Roman"/>
                <w:sz w:val="24"/>
                <w:szCs w:val="24"/>
                <w:lang w:eastAsia="lt-LT"/>
              </w:rPr>
              <w:t>Šiame tyrime bus naudojami CRISPR/</w:t>
            </w:r>
            <w:proofErr w:type="spellStart"/>
            <w:r w:rsidRPr="00EF627F">
              <w:rPr>
                <w:rFonts w:ascii="Times New Roman" w:eastAsia="Times New Roman" w:hAnsi="Times New Roman" w:cs="Times New Roman"/>
                <w:sz w:val="24"/>
                <w:szCs w:val="24"/>
                <w:lang w:eastAsia="lt-LT"/>
              </w:rPr>
              <w:t>Cas</w:t>
            </w:r>
            <w:proofErr w:type="spellEnd"/>
            <w:r w:rsidRPr="00EF627F">
              <w:rPr>
                <w:rFonts w:ascii="Times New Roman" w:eastAsia="Times New Roman" w:hAnsi="Times New Roman" w:cs="Times New Roman"/>
                <w:sz w:val="24"/>
                <w:szCs w:val="24"/>
                <w:lang w:eastAsia="lt-LT"/>
              </w:rPr>
              <w:t xml:space="preserve"> genomo redagavimo </w:t>
            </w:r>
            <w:proofErr w:type="spellStart"/>
            <w:r w:rsidRPr="00EF627F">
              <w:rPr>
                <w:rFonts w:ascii="Times New Roman" w:eastAsia="Times New Roman" w:hAnsi="Times New Roman" w:cs="Times New Roman"/>
                <w:sz w:val="24"/>
                <w:szCs w:val="24"/>
                <w:lang w:eastAsia="lt-LT"/>
              </w:rPr>
              <w:t>įrankai</w:t>
            </w:r>
            <w:proofErr w:type="spellEnd"/>
            <w:r w:rsidRPr="00EF627F">
              <w:rPr>
                <w:rFonts w:ascii="Times New Roman" w:eastAsia="Times New Roman" w:hAnsi="Times New Roman" w:cs="Times New Roman"/>
                <w:sz w:val="24"/>
                <w:szCs w:val="24"/>
                <w:lang w:eastAsia="lt-LT"/>
              </w:rPr>
              <w:t xml:space="preserve"> bei vėžinių ląstelių </w:t>
            </w:r>
            <w:proofErr w:type="spellStart"/>
            <w:r w:rsidRPr="00EF627F">
              <w:rPr>
                <w:rFonts w:ascii="Times New Roman" w:eastAsia="Times New Roman" w:hAnsi="Times New Roman" w:cs="Times New Roman"/>
                <w:sz w:val="24"/>
                <w:szCs w:val="24"/>
                <w:lang w:eastAsia="lt-LT"/>
              </w:rPr>
              <w:t>metastazavimo</w:t>
            </w:r>
            <w:proofErr w:type="spellEnd"/>
            <w:r w:rsidRPr="00EF627F">
              <w:rPr>
                <w:rFonts w:ascii="Times New Roman" w:eastAsia="Times New Roman" w:hAnsi="Times New Roman" w:cs="Times New Roman"/>
                <w:sz w:val="24"/>
                <w:szCs w:val="24"/>
                <w:lang w:eastAsia="lt-LT"/>
              </w:rPr>
              <w:t xml:space="preserve"> gebėjimo vertinimas </w:t>
            </w:r>
            <w:proofErr w:type="spellStart"/>
            <w:r w:rsidRPr="00EF627F">
              <w:rPr>
                <w:rFonts w:ascii="Times New Roman" w:eastAsia="Times New Roman" w:hAnsi="Times New Roman" w:cs="Times New Roman"/>
                <w:sz w:val="24"/>
                <w:szCs w:val="24"/>
                <w:lang w:eastAsia="lt-LT"/>
              </w:rPr>
              <w:t>singeniniame</w:t>
            </w:r>
            <w:proofErr w:type="spellEnd"/>
            <w:r w:rsidRPr="00EF627F">
              <w:rPr>
                <w:rFonts w:ascii="Times New Roman" w:eastAsia="Times New Roman" w:hAnsi="Times New Roman" w:cs="Times New Roman"/>
                <w:sz w:val="24"/>
                <w:szCs w:val="24"/>
                <w:lang w:eastAsia="lt-LT"/>
              </w:rPr>
              <w:t xml:space="preserve"> eksperimentinio gyvūno modelyje </w:t>
            </w:r>
            <w:proofErr w:type="spellStart"/>
            <w:r w:rsidRPr="00EF627F">
              <w:rPr>
                <w:rFonts w:ascii="Times New Roman" w:eastAsia="Times New Roman" w:hAnsi="Times New Roman" w:cs="Times New Roman"/>
                <w:i/>
                <w:sz w:val="24"/>
                <w:szCs w:val="24"/>
                <w:lang w:eastAsia="lt-LT"/>
              </w:rPr>
              <w:t>in</w:t>
            </w:r>
            <w:proofErr w:type="spellEnd"/>
            <w:r w:rsidRPr="00EF627F">
              <w:rPr>
                <w:rFonts w:ascii="Times New Roman" w:eastAsia="Times New Roman" w:hAnsi="Times New Roman" w:cs="Times New Roman"/>
                <w:i/>
                <w:sz w:val="24"/>
                <w:szCs w:val="24"/>
                <w:lang w:eastAsia="lt-LT"/>
              </w:rPr>
              <w:t xml:space="preserve"> </w:t>
            </w:r>
            <w:proofErr w:type="spellStart"/>
            <w:r w:rsidRPr="00EF627F">
              <w:rPr>
                <w:rFonts w:ascii="Times New Roman" w:eastAsia="Times New Roman" w:hAnsi="Times New Roman" w:cs="Times New Roman"/>
                <w:i/>
                <w:sz w:val="24"/>
                <w:szCs w:val="24"/>
                <w:lang w:eastAsia="lt-LT"/>
              </w:rPr>
              <w:t>vivo</w:t>
            </w:r>
            <w:proofErr w:type="spellEnd"/>
            <w:r w:rsidRPr="00EF627F">
              <w:rPr>
                <w:rFonts w:ascii="Times New Roman" w:eastAsia="Times New Roman" w:hAnsi="Times New Roman" w:cs="Times New Roman"/>
                <w:sz w:val="24"/>
                <w:szCs w:val="24"/>
                <w:lang w:eastAsia="lt-LT"/>
              </w:rPr>
              <w:t xml:space="preserve">. Nustatytų </w:t>
            </w:r>
            <w:proofErr w:type="spellStart"/>
            <w:r w:rsidRPr="00EF627F">
              <w:rPr>
                <w:rFonts w:ascii="Times New Roman" w:eastAsia="Times New Roman" w:hAnsi="Times New Roman" w:cs="Times New Roman"/>
                <w:sz w:val="24"/>
                <w:szCs w:val="24"/>
                <w:lang w:eastAsia="lt-LT"/>
              </w:rPr>
              <w:t>metastazavimui</w:t>
            </w:r>
            <w:proofErr w:type="spellEnd"/>
            <w:r w:rsidRPr="00EF627F">
              <w:rPr>
                <w:rFonts w:ascii="Times New Roman" w:eastAsia="Times New Roman" w:hAnsi="Times New Roman" w:cs="Times New Roman"/>
                <w:sz w:val="24"/>
                <w:szCs w:val="24"/>
                <w:lang w:eastAsia="lt-LT"/>
              </w:rPr>
              <w:t xml:space="preserve"> svarbių </w:t>
            </w:r>
            <w:proofErr w:type="spellStart"/>
            <w:r w:rsidRPr="00EF627F">
              <w:rPr>
                <w:rFonts w:ascii="Times New Roman" w:eastAsia="Times New Roman" w:hAnsi="Times New Roman" w:cs="Times New Roman"/>
                <w:sz w:val="24"/>
                <w:szCs w:val="24"/>
                <w:lang w:eastAsia="lt-LT"/>
              </w:rPr>
              <w:t>miRNR</w:t>
            </w:r>
            <w:proofErr w:type="spellEnd"/>
            <w:r w:rsidRPr="00EF627F">
              <w:rPr>
                <w:rFonts w:ascii="Times New Roman" w:eastAsia="Times New Roman" w:hAnsi="Times New Roman" w:cs="Times New Roman"/>
                <w:sz w:val="24"/>
                <w:szCs w:val="24"/>
                <w:lang w:eastAsia="lt-LT"/>
              </w:rPr>
              <w:t xml:space="preserve"> analogų žmogaus genome parinkimui bus panaudoti </w:t>
            </w:r>
            <w:proofErr w:type="spellStart"/>
            <w:r w:rsidRPr="00EF627F">
              <w:rPr>
                <w:rFonts w:ascii="Times New Roman" w:eastAsia="Times New Roman" w:hAnsi="Times New Roman" w:cs="Times New Roman"/>
                <w:sz w:val="24"/>
                <w:szCs w:val="24"/>
                <w:lang w:eastAsia="lt-LT"/>
              </w:rPr>
              <w:t>bioinformatinės</w:t>
            </w:r>
            <w:proofErr w:type="spellEnd"/>
            <w:r w:rsidRPr="00EF627F">
              <w:rPr>
                <w:rFonts w:ascii="Times New Roman" w:eastAsia="Times New Roman" w:hAnsi="Times New Roman" w:cs="Times New Roman"/>
                <w:sz w:val="24"/>
                <w:szCs w:val="24"/>
                <w:lang w:eastAsia="lt-LT"/>
              </w:rPr>
              <w:t xml:space="preserve"> analizės metodai ir tokiu būdu bus atrinktos potencialiai su žmogaus vėžinių ląstelių </w:t>
            </w:r>
            <w:proofErr w:type="spellStart"/>
            <w:r w:rsidRPr="00EF627F">
              <w:rPr>
                <w:rFonts w:ascii="Times New Roman" w:eastAsia="Times New Roman" w:hAnsi="Times New Roman" w:cs="Times New Roman"/>
                <w:sz w:val="24"/>
                <w:szCs w:val="24"/>
                <w:lang w:eastAsia="lt-LT"/>
              </w:rPr>
              <w:t>metastazavimu</w:t>
            </w:r>
            <w:proofErr w:type="spellEnd"/>
            <w:r w:rsidRPr="00EF627F">
              <w:rPr>
                <w:rFonts w:ascii="Times New Roman" w:eastAsia="Times New Roman" w:hAnsi="Times New Roman" w:cs="Times New Roman"/>
                <w:sz w:val="24"/>
                <w:szCs w:val="24"/>
                <w:lang w:eastAsia="lt-LT"/>
              </w:rPr>
              <w:t xml:space="preserve"> susijusios </w:t>
            </w:r>
            <w:proofErr w:type="spellStart"/>
            <w:r w:rsidRPr="00EF627F">
              <w:rPr>
                <w:rFonts w:ascii="Times New Roman" w:eastAsia="Times New Roman" w:hAnsi="Times New Roman" w:cs="Times New Roman"/>
                <w:sz w:val="24"/>
                <w:szCs w:val="24"/>
                <w:lang w:eastAsia="lt-LT"/>
              </w:rPr>
              <w:t>miRNR</w:t>
            </w:r>
            <w:proofErr w:type="spellEnd"/>
            <w:r w:rsidRPr="00EF627F">
              <w:rPr>
                <w:rFonts w:ascii="Times New Roman" w:eastAsia="Times New Roman" w:hAnsi="Times New Roman" w:cs="Times New Roman"/>
                <w:sz w:val="24"/>
                <w:szCs w:val="24"/>
                <w:lang w:eastAsia="lt-LT"/>
              </w:rPr>
              <w:t xml:space="preserve"> tolimesnio patvirtinimo etapui.</w:t>
            </w:r>
          </w:p>
          <w:p w14:paraId="732964D5" w14:textId="77777777" w:rsidR="00EF627F" w:rsidRPr="00EF627F" w:rsidRDefault="00EF627F" w:rsidP="00EF627F">
            <w:pPr>
              <w:spacing w:after="0" w:line="240" w:lineRule="auto"/>
              <w:jc w:val="both"/>
              <w:rPr>
                <w:rFonts w:ascii="Times New Roman" w:eastAsia="Times New Roman" w:hAnsi="Times New Roman" w:cs="Times New Roman"/>
                <w:b/>
                <w:sz w:val="24"/>
                <w:szCs w:val="24"/>
                <w:lang w:eastAsia="lt-LT"/>
              </w:rPr>
            </w:pPr>
            <w:r w:rsidRPr="00EF627F">
              <w:rPr>
                <w:rFonts w:ascii="Times New Roman" w:eastAsia="Times New Roman" w:hAnsi="Times New Roman" w:cs="Times New Roman"/>
                <w:sz w:val="24"/>
                <w:szCs w:val="24"/>
                <w:lang w:eastAsia="lt-LT"/>
              </w:rPr>
              <w:t xml:space="preserve">    5.3. </w:t>
            </w:r>
            <w:proofErr w:type="spellStart"/>
            <w:r w:rsidRPr="00EF627F">
              <w:rPr>
                <w:rFonts w:ascii="Times New Roman" w:eastAsia="Times New Roman" w:hAnsi="Times New Roman" w:cs="Times New Roman"/>
                <w:sz w:val="24"/>
                <w:szCs w:val="24"/>
                <w:lang w:eastAsia="lt-LT"/>
              </w:rPr>
              <w:t>Biobanko</w:t>
            </w:r>
            <w:proofErr w:type="spellEnd"/>
            <w:r w:rsidRPr="00EF627F">
              <w:rPr>
                <w:rFonts w:ascii="Times New Roman" w:eastAsia="Times New Roman" w:hAnsi="Times New Roman" w:cs="Times New Roman"/>
                <w:sz w:val="24"/>
                <w:szCs w:val="24"/>
                <w:lang w:eastAsia="lt-LT"/>
              </w:rPr>
              <w:t xml:space="preserve"> resursų panaudojimas gydymo metodų efektyvumo įvertinimui ir žymenų sistemų </w:t>
            </w:r>
            <w:r w:rsidRPr="00EF627F">
              <w:rPr>
                <w:rFonts w:ascii="Times New Roman" w:eastAsia="Times New Roman" w:hAnsi="Times New Roman" w:cs="Times New Roman"/>
                <w:sz w:val="24"/>
                <w:szCs w:val="24"/>
                <w:lang w:eastAsia="lt-LT"/>
              </w:rPr>
              <w:lastRenderedPageBreak/>
              <w:t>diegimui.</w:t>
            </w:r>
            <w:r w:rsidRPr="00EF627F">
              <w:rPr>
                <w:rFonts w:ascii="Times New Roman" w:eastAsia="Times New Roman" w:hAnsi="Times New Roman" w:cs="Times New Roman"/>
                <w:b/>
                <w:sz w:val="24"/>
                <w:szCs w:val="24"/>
                <w:lang w:eastAsia="lt-LT"/>
              </w:rPr>
              <w:t xml:space="preserve"> </w:t>
            </w:r>
          </w:p>
          <w:p w14:paraId="732964D6" w14:textId="77777777" w:rsidR="00EF627F" w:rsidRPr="00EF627F" w:rsidRDefault="00EF627F" w:rsidP="00EF627F">
            <w:pPr>
              <w:spacing w:after="0" w:line="240" w:lineRule="auto"/>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 xml:space="preserve">Šios programos (ir kitų NVI vykdomų MTEP programų) priemonės įgyvendinimui labai svarbi NVI </w:t>
            </w:r>
            <w:proofErr w:type="spellStart"/>
            <w:r w:rsidRPr="00EF627F">
              <w:rPr>
                <w:rFonts w:ascii="Times New Roman" w:eastAsia="Times New Roman" w:hAnsi="Times New Roman" w:cs="Times New Roman"/>
                <w:sz w:val="24"/>
                <w:szCs w:val="24"/>
                <w:lang w:eastAsia="lt-LT"/>
              </w:rPr>
              <w:t>Biobanko</w:t>
            </w:r>
            <w:proofErr w:type="spellEnd"/>
            <w:r w:rsidRPr="00EF627F">
              <w:rPr>
                <w:rFonts w:ascii="Times New Roman" w:eastAsia="Times New Roman" w:hAnsi="Times New Roman" w:cs="Times New Roman"/>
                <w:sz w:val="24"/>
                <w:szCs w:val="24"/>
                <w:lang w:eastAsia="lt-LT"/>
              </w:rPr>
              <w:t xml:space="preserve"> plėtra. Įgyvendinant šią priemonę taip pat bus vystoma NVI </w:t>
            </w:r>
            <w:proofErr w:type="spellStart"/>
            <w:r w:rsidRPr="00EF627F">
              <w:rPr>
                <w:rFonts w:ascii="Times New Roman" w:eastAsia="Times New Roman" w:hAnsi="Times New Roman" w:cs="Times New Roman"/>
                <w:sz w:val="24"/>
                <w:szCs w:val="24"/>
                <w:lang w:eastAsia="lt-LT"/>
              </w:rPr>
              <w:t>Biobanko</w:t>
            </w:r>
            <w:proofErr w:type="spellEnd"/>
            <w:r w:rsidRPr="00EF627F">
              <w:rPr>
                <w:rFonts w:ascii="Times New Roman" w:eastAsia="Times New Roman" w:hAnsi="Times New Roman" w:cs="Times New Roman"/>
                <w:sz w:val="24"/>
                <w:szCs w:val="24"/>
                <w:lang w:eastAsia="lt-LT"/>
              </w:rPr>
              <w:t xml:space="preserve"> plėtra ir integracija su kitais Lietuvos </w:t>
            </w:r>
            <w:proofErr w:type="spellStart"/>
            <w:r w:rsidRPr="00EF627F">
              <w:rPr>
                <w:rFonts w:ascii="Times New Roman" w:eastAsia="Times New Roman" w:hAnsi="Times New Roman" w:cs="Times New Roman"/>
                <w:sz w:val="24"/>
                <w:szCs w:val="24"/>
                <w:lang w:eastAsia="lt-LT"/>
              </w:rPr>
              <w:t>biobankais</w:t>
            </w:r>
            <w:proofErr w:type="spellEnd"/>
            <w:r w:rsidRPr="00EF627F">
              <w:rPr>
                <w:rFonts w:ascii="Times New Roman" w:eastAsia="Times New Roman" w:hAnsi="Times New Roman" w:cs="Times New Roman"/>
                <w:sz w:val="24"/>
                <w:szCs w:val="24"/>
                <w:lang w:eastAsia="lt-LT"/>
              </w:rPr>
              <w:t xml:space="preserve">. Plėtojant </w:t>
            </w:r>
            <w:proofErr w:type="spellStart"/>
            <w:r w:rsidRPr="00EF627F">
              <w:rPr>
                <w:rFonts w:ascii="Times New Roman" w:eastAsia="Times New Roman" w:hAnsi="Times New Roman" w:cs="Times New Roman"/>
                <w:sz w:val="24"/>
                <w:szCs w:val="24"/>
                <w:lang w:eastAsia="lt-LT"/>
              </w:rPr>
              <w:t>biobankų</w:t>
            </w:r>
            <w:proofErr w:type="spellEnd"/>
            <w:r w:rsidRPr="00EF627F">
              <w:rPr>
                <w:rFonts w:ascii="Times New Roman" w:eastAsia="Times New Roman" w:hAnsi="Times New Roman" w:cs="Times New Roman"/>
                <w:sz w:val="24"/>
                <w:szCs w:val="24"/>
                <w:lang w:eastAsia="lt-LT"/>
              </w:rPr>
              <w:t xml:space="preserve"> veiklą Lietuvoje, šiuo metu rengiamas Europos Sąjungos finansuojamas bei Lietuvos Respublikos Švietimo ir mokslo ministerijos remiamas  projektas „Žmogaus biologinių išteklių centras“. Projektas rengiamas bendradarbiaujant stambiausioms Lietuvos gydymo ir mokslo institucijoms. NVI, jau turėdamas pakankamą </w:t>
            </w:r>
            <w:proofErr w:type="spellStart"/>
            <w:r w:rsidRPr="00EF627F">
              <w:rPr>
                <w:rFonts w:ascii="Times New Roman" w:eastAsia="Times New Roman" w:hAnsi="Times New Roman" w:cs="Times New Roman"/>
                <w:sz w:val="24"/>
                <w:szCs w:val="24"/>
                <w:lang w:eastAsia="lt-LT"/>
              </w:rPr>
              <w:t>biobankininkystės</w:t>
            </w:r>
            <w:proofErr w:type="spellEnd"/>
            <w:r w:rsidRPr="00EF627F">
              <w:rPr>
                <w:rFonts w:ascii="Times New Roman" w:eastAsia="Times New Roman" w:hAnsi="Times New Roman" w:cs="Times New Roman"/>
                <w:sz w:val="24"/>
                <w:szCs w:val="24"/>
                <w:lang w:eastAsia="lt-LT"/>
              </w:rPr>
              <w:t xml:space="preserve"> patirtį, įtrauktas kaip vienas svarbiausių partnerių šiame projekte. Projekto rengimo periodu nutarta, kad racionaliausia būtų neplėsti infrastruktūros, o racionaliau panaudoti jau esamą ir funkcionuojantį NVI </w:t>
            </w:r>
            <w:proofErr w:type="spellStart"/>
            <w:r w:rsidRPr="00EF627F">
              <w:rPr>
                <w:rFonts w:ascii="Times New Roman" w:eastAsia="Times New Roman" w:hAnsi="Times New Roman" w:cs="Times New Roman"/>
                <w:sz w:val="24"/>
                <w:szCs w:val="24"/>
                <w:lang w:eastAsia="lt-LT"/>
              </w:rPr>
              <w:t>Biobanką</w:t>
            </w:r>
            <w:proofErr w:type="spellEnd"/>
            <w:r w:rsidRPr="00EF627F">
              <w:rPr>
                <w:rFonts w:ascii="Times New Roman" w:eastAsia="Times New Roman" w:hAnsi="Times New Roman" w:cs="Times New Roman"/>
                <w:sz w:val="24"/>
                <w:szCs w:val="24"/>
                <w:lang w:eastAsia="lt-LT"/>
              </w:rPr>
              <w:t xml:space="preserve">. Todėl jame numatyta lokalizuoti vieną pagrindinių Vilniaus padalinio saugyklų, į kurią biologiniai </w:t>
            </w:r>
            <w:proofErr w:type="spellStart"/>
            <w:r w:rsidRPr="00EF627F">
              <w:rPr>
                <w:rFonts w:ascii="Times New Roman" w:eastAsia="Times New Roman" w:hAnsi="Times New Roman" w:cs="Times New Roman"/>
                <w:sz w:val="24"/>
                <w:szCs w:val="24"/>
                <w:lang w:eastAsia="lt-LT"/>
              </w:rPr>
              <w:t>ėminiai</w:t>
            </w:r>
            <w:proofErr w:type="spellEnd"/>
            <w:r w:rsidRPr="00EF627F">
              <w:rPr>
                <w:rFonts w:ascii="Times New Roman" w:eastAsia="Times New Roman" w:hAnsi="Times New Roman" w:cs="Times New Roman"/>
                <w:sz w:val="24"/>
                <w:szCs w:val="24"/>
                <w:lang w:eastAsia="lt-LT"/>
              </w:rPr>
              <w:t xml:space="preserve"> suplauks iš viso Santariškių medicinos miestelio, taip pat kartu bus saugomi ir NVI pacientų </w:t>
            </w:r>
            <w:proofErr w:type="spellStart"/>
            <w:r w:rsidRPr="00EF627F">
              <w:rPr>
                <w:rFonts w:ascii="Times New Roman" w:eastAsia="Times New Roman" w:hAnsi="Times New Roman" w:cs="Times New Roman"/>
                <w:sz w:val="24"/>
                <w:szCs w:val="24"/>
                <w:lang w:eastAsia="lt-LT"/>
              </w:rPr>
              <w:t>ėminiai</w:t>
            </w:r>
            <w:proofErr w:type="spellEnd"/>
            <w:r w:rsidRPr="00EF627F">
              <w:rPr>
                <w:rFonts w:ascii="Times New Roman" w:eastAsia="Times New Roman" w:hAnsi="Times New Roman" w:cs="Times New Roman"/>
                <w:sz w:val="24"/>
                <w:szCs w:val="24"/>
                <w:lang w:eastAsia="lt-LT"/>
              </w:rPr>
              <w:t xml:space="preserve">. Neabejotina, kad NVI </w:t>
            </w:r>
            <w:proofErr w:type="spellStart"/>
            <w:r w:rsidRPr="00EF627F">
              <w:rPr>
                <w:rFonts w:ascii="Times New Roman" w:eastAsia="Times New Roman" w:hAnsi="Times New Roman" w:cs="Times New Roman"/>
                <w:sz w:val="24"/>
                <w:szCs w:val="24"/>
                <w:lang w:eastAsia="lt-LT"/>
              </w:rPr>
              <w:t>Biobanko</w:t>
            </w:r>
            <w:proofErr w:type="spellEnd"/>
            <w:r w:rsidRPr="00EF627F">
              <w:rPr>
                <w:rFonts w:ascii="Times New Roman" w:eastAsia="Times New Roman" w:hAnsi="Times New Roman" w:cs="Times New Roman"/>
                <w:sz w:val="24"/>
                <w:szCs w:val="24"/>
                <w:lang w:eastAsia="lt-LT"/>
              </w:rPr>
              <w:t xml:space="preserve"> plėtra ir integracija į "Žmogaus biologinių išteklių centrą" paskatins ne tik šios programos uždavinių ir priemonių įgyvendinimą, bet ir onkologijos srities tyrimus visoje Lietuvoje. Harmonizavus NVI </w:t>
            </w:r>
            <w:proofErr w:type="spellStart"/>
            <w:r w:rsidRPr="00EF627F">
              <w:rPr>
                <w:rFonts w:ascii="Times New Roman" w:eastAsia="Times New Roman" w:hAnsi="Times New Roman" w:cs="Times New Roman"/>
                <w:sz w:val="24"/>
                <w:szCs w:val="24"/>
                <w:lang w:eastAsia="lt-LT"/>
              </w:rPr>
              <w:t>Biobanko</w:t>
            </w:r>
            <w:proofErr w:type="spellEnd"/>
            <w:r w:rsidRPr="00EF627F">
              <w:rPr>
                <w:rFonts w:ascii="Times New Roman" w:eastAsia="Times New Roman" w:hAnsi="Times New Roman" w:cs="Times New Roman"/>
                <w:sz w:val="24"/>
                <w:szCs w:val="24"/>
                <w:lang w:eastAsia="lt-LT"/>
              </w:rPr>
              <w:t xml:space="preserve"> veiklą su "Žmogaus biologinių išteklių centro" veikla, bus siekiama įsijungti į Europos ekonominės erdvės mokslinių tyrimų infrastruktūrą BBMRI-ERIC, kas atvers platesnes tarptautinio bendradarbiavimo galimybes. Tokiu būdu, atnaujinus NVI </w:t>
            </w:r>
            <w:proofErr w:type="spellStart"/>
            <w:r w:rsidRPr="00EF627F">
              <w:rPr>
                <w:rFonts w:ascii="Times New Roman" w:eastAsia="Times New Roman" w:hAnsi="Times New Roman" w:cs="Times New Roman"/>
                <w:sz w:val="24"/>
                <w:szCs w:val="24"/>
                <w:lang w:eastAsia="lt-LT"/>
              </w:rPr>
              <w:t>Biobanką</w:t>
            </w:r>
            <w:proofErr w:type="spellEnd"/>
            <w:r w:rsidRPr="00EF627F">
              <w:rPr>
                <w:rFonts w:ascii="Times New Roman" w:eastAsia="Times New Roman" w:hAnsi="Times New Roman" w:cs="Times New Roman"/>
                <w:sz w:val="24"/>
                <w:szCs w:val="24"/>
                <w:lang w:eastAsia="lt-LT"/>
              </w:rPr>
              <w:t xml:space="preserve"> ir įrengus modernią saugyklą bei įsigijus papildomos įrangos, bus sukaupta platesnė biologinių </w:t>
            </w:r>
            <w:proofErr w:type="spellStart"/>
            <w:r w:rsidRPr="00EF627F">
              <w:rPr>
                <w:rFonts w:ascii="Times New Roman" w:eastAsia="Times New Roman" w:hAnsi="Times New Roman" w:cs="Times New Roman"/>
                <w:sz w:val="24"/>
                <w:szCs w:val="24"/>
                <w:lang w:eastAsia="lt-LT"/>
              </w:rPr>
              <w:t>ėminių</w:t>
            </w:r>
            <w:proofErr w:type="spellEnd"/>
            <w:r w:rsidRPr="00EF627F">
              <w:rPr>
                <w:rFonts w:ascii="Times New Roman" w:eastAsia="Times New Roman" w:hAnsi="Times New Roman" w:cs="Times New Roman"/>
                <w:sz w:val="24"/>
                <w:szCs w:val="24"/>
                <w:lang w:eastAsia="lt-LT"/>
              </w:rPr>
              <w:t xml:space="preserve"> įvairovė, leidžianti atlikti išsamius mokslinius </w:t>
            </w:r>
            <w:proofErr w:type="spellStart"/>
            <w:r w:rsidRPr="00EF627F">
              <w:rPr>
                <w:rFonts w:ascii="Times New Roman" w:eastAsia="Times New Roman" w:hAnsi="Times New Roman" w:cs="Times New Roman"/>
                <w:sz w:val="24"/>
                <w:szCs w:val="24"/>
                <w:lang w:eastAsia="lt-LT"/>
              </w:rPr>
              <w:t>biožymenų</w:t>
            </w:r>
            <w:proofErr w:type="spellEnd"/>
            <w:r w:rsidRPr="00EF627F">
              <w:rPr>
                <w:rFonts w:ascii="Times New Roman" w:eastAsia="Times New Roman" w:hAnsi="Times New Roman" w:cs="Times New Roman"/>
                <w:sz w:val="24"/>
                <w:szCs w:val="24"/>
                <w:lang w:eastAsia="lt-LT"/>
              </w:rPr>
              <w:t xml:space="preserve">, ligų rizikos veiksnių, </w:t>
            </w:r>
            <w:proofErr w:type="spellStart"/>
            <w:r w:rsidRPr="00EF627F">
              <w:rPr>
                <w:rFonts w:ascii="Times New Roman" w:eastAsia="Times New Roman" w:hAnsi="Times New Roman" w:cs="Times New Roman"/>
                <w:sz w:val="24"/>
                <w:szCs w:val="24"/>
                <w:lang w:eastAsia="lt-LT"/>
              </w:rPr>
              <w:t>epidemiolgijos</w:t>
            </w:r>
            <w:proofErr w:type="spellEnd"/>
            <w:r w:rsidRPr="00EF627F">
              <w:rPr>
                <w:rFonts w:ascii="Times New Roman" w:eastAsia="Times New Roman" w:hAnsi="Times New Roman" w:cs="Times New Roman"/>
                <w:sz w:val="24"/>
                <w:szCs w:val="24"/>
                <w:lang w:eastAsia="lt-LT"/>
              </w:rPr>
              <w:t xml:space="preserve">, paplitimo, priežastinių ryšių ar gydymo efektyvumo vertinimo tyrimus. Naudojant ne tik onkologinių, bet ir kitomis ligomis sergančių pacientų biologinius </w:t>
            </w:r>
            <w:proofErr w:type="spellStart"/>
            <w:r w:rsidRPr="00EF627F">
              <w:rPr>
                <w:rFonts w:ascii="Times New Roman" w:eastAsia="Times New Roman" w:hAnsi="Times New Roman" w:cs="Times New Roman"/>
                <w:sz w:val="24"/>
                <w:szCs w:val="24"/>
                <w:lang w:eastAsia="lt-LT"/>
              </w:rPr>
              <w:t>ėminius</w:t>
            </w:r>
            <w:proofErr w:type="spellEnd"/>
            <w:r w:rsidRPr="00EF627F">
              <w:rPr>
                <w:rFonts w:ascii="Times New Roman" w:eastAsia="Times New Roman" w:hAnsi="Times New Roman" w:cs="Times New Roman"/>
                <w:sz w:val="24"/>
                <w:szCs w:val="24"/>
                <w:lang w:eastAsia="lt-LT"/>
              </w:rPr>
              <w:t xml:space="preserve">, atsivers platesnės galimybės molekulinių žymenų tyrimams bei </w:t>
            </w:r>
            <w:proofErr w:type="spellStart"/>
            <w:r w:rsidRPr="00EF627F">
              <w:rPr>
                <w:rFonts w:ascii="Times New Roman" w:eastAsia="Times New Roman" w:hAnsi="Times New Roman" w:cs="Times New Roman"/>
                <w:sz w:val="24"/>
                <w:szCs w:val="24"/>
                <w:lang w:eastAsia="lt-LT"/>
              </w:rPr>
              <w:t>palyginamąjai</w:t>
            </w:r>
            <w:proofErr w:type="spellEnd"/>
            <w:r w:rsidRPr="00EF627F">
              <w:rPr>
                <w:rFonts w:ascii="Times New Roman" w:eastAsia="Times New Roman" w:hAnsi="Times New Roman" w:cs="Times New Roman"/>
                <w:sz w:val="24"/>
                <w:szCs w:val="24"/>
                <w:lang w:eastAsia="lt-LT"/>
              </w:rPr>
              <w:t xml:space="preserve"> ligų analizei atrenkant žymenis, išskirtinai veikiančius tik onkologinių ligų atvejais.</w:t>
            </w:r>
          </w:p>
          <w:p w14:paraId="732964D7" w14:textId="77777777" w:rsidR="00EF627F" w:rsidRPr="00EF627F" w:rsidRDefault="00EF627F" w:rsidP="00EF627F">
            <w:pPr>
              <w:spacing w:after="0" w:line="240" w:lineRule="auto"/>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 xml:space="preserve">Programos uždaviniai ir apimtys norminiais etatais bei lėšomis (tūkst. </w:t>
            </w:r>
            <w:proofErr w:type="spellStart"/>
            <w:r w:rsidRPr="00EF627F">
              <w:rPr>
                <w:rFonts w:ascii="Times New Roman" w:eastAsia="Times New Roman" w:hAnsi="Times New Roman" w:cs="Times New Roman"/>
                <w:sz w:val="24"/>
                <w:szCs w:val="24"/>
                <w:lang w:eastAsia="lt-LT"/>
              </w:rPr>
              <w:t>Eur</w:t>
            </w:r>
            <w:proofErr w:type="spellEnd"/>
            <w:r w:rsidRPr="00EF627F">
              <w:rPr>
                <w:rFonts w:ascii="Times New Roman" w:eastAsia="Times New Roman" w:hAnsi="Times New Roman" w:cs="Times New Roman"/>
                <w:sz w:val="24"/>
                <w:szCs w:val="24"/>
                <w:lang w:eastAsia="lt-LT"/>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123"/>
              <w:gridCol w:w="1125"/>
              <w:gridCol w:w="1125"/>
              <w:gridCol w:w="1123"/>
              <w:gridCol w:w="1125"/>
              <w:gridCol w:w="978"/>
            </w:tblGrid>
            <w:tr w:rsidR="00EF627F" w:rsidRPr="00EF627F" w14:paraId="732964DF" w14:textId="77777777" w:rsidTr="00444D77">
              <w:tc>
                <w:tcPr>
                  <w:tcW w:w="2923" w:type="dxa"/>
                  <w:shd w:val="clear" w:color="auto" w:fill="auto"/>
                </w:tcPr>
                <w:p w14:paraId="732964D8" w14:textId="77777777" w:rsidR="00EF627F" w:rsidRPr="00EF627F" w:rsidRDefault="00EF627F" w:rsidP="00EF627F">
                  <w:pPr>
                    <w:spacing w:after="0" w:line="240" w:lineRule="auto"/>
                    <w:jc w:val="both"/>
                    <w:rPr>
                      <w:rFonts w:ascii="Times New Roman" w:eastAsia="Times New Roman" w:hAnsi="Times New Roman" w:cs="Times New Roman"/>
                      <w:lang w:eastAsia="lt-LT"/>
                    </w:rPr>
                  </w:pPr>
                </w:p>
              </w:tc>
              <w:tc>
                <w:tcPr>
                  <w:tcW w:w="1123" w:type="dxa"/>
                  <w:shd w:val="clear" w:color="auto" w:fill="auto"/>
                </w:tcPr>
                <w:p w14:paraId="732964D9"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2017 metai</w:t>
                  </w:r>
                </w:p>
              </w:tc>
              <w:tc>
                <w:tcPr>
                  <w:tcW w:w="1125" w:type="dxa"/>
                  <w:shd w:val="clear" w:color="auto" w:fill="auto"/>
                </w:tcPr>
                <w:p w14:paraId="732964DA"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2018 metai</w:t>
                  </w:r>
                </w:p>
              </w:tc>
              <w:tc>
                <w:tcPr>
                  <w:tcW w:w="1125" w:type="dxa"/>
                  <w:shd w:val="clear" w:color="auto" w:fill="auto"/>
                </w:tcPr>
                <w:p w14:paraId="732964DB"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2019 metai</w:t>
                  </w:r>
                </w:p>
              </w:tc>
              <w:tc>
                <w:tcPr>
                  <w:tcW w:w="1123" w:type="dxa"/>
                  <w:shd w:val="clear" w:color="auto" w:fill="auto"/>
                </w:tcPr>
                <w:p w14:paraId="732964DC"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2020 metai</w:t>
                  </w:r>
                </w:p>
              </w:tc>
              <w:tc>
                <w:tcPr>
                  <w:tcW w:w="1125" w:type="dxa"/>
                  <w:shd w:val="clear" w:color="auto" w:fill="auto"/>
                </w:tcPr>
                <w:p w14:paraId="732964DD"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2021 metai</w:t>
                  </w:r>
                </w:p>
              </w:tc>
              <w:tc>
                <w:tcPr>
                  <w:tcW w:w="978" w:type="dxa"/>
                  <w:shd w:val="clear" w:color="auto" w:fill="auto"/>
                </w:tcPr>
                <w:p w14:paraId="732964DE"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Iš viso</w:t>
                  </w:r>
                </w:p>
              </w:tc>
            </w:tr>
            <w:tr w:rsidR="00EF627F" w:rsidRPr="00EF627F" w14:paraId="732964E1" w14:textId="77777777" w:rsidTr="00444D77">
              <w:tc>
                <w:tcPr>
                  <w:tcW w:w="9522" w:type="dxa"/>
                  <w:gridSpan w:val="7"/>
                  <w:shd w:val="clear" w:color="auto" w:fill="auto"/>
                </w:tcPr>
                <w:p w14:paraId="732964E0" w14:textId="77777777" w:rsidR="00EF627F" w:rsidRPr="00EF627F" w:rsidRDefault="00EF627F" w:rsidP="00ED1E47">
                  <w:pPr>
                    <w:spacing w:after="0" w:line="240" w:lineRule="auto"/>
                    <w:jc w:val="both"/>
                    <w:rPr>
                      <w:rFonts w:ascii="Times New Roman" w:eastAsia="Times New Roman" w:hAnsi="Times New Roman" w:cs="Times New Roman"/>
                      <w:lang w:eastAsia="lt-LT"/>
                    </w:rPr>
                  </w:pPr>
                  <w:r w:rsidRPr="00EF627F">
                    <w:rPr>
                      <w:rFonts w:ascii="Times New Roman" w:eastAsia="Calibri" w:hAnsi="Times New Roman" w:cs="Times New Roman"/>
                      <w:lang w:eastAsia="lt-LT"/>
                    </w:rPr>
                    <w:t xml:space="preserve">Naujų imunologinių priešvėžinių preparatų ir atsako į juos </w:t>
                  </w:r>
                  <w:proofErr w:type="spellStart"/>
                  <w:r w:rsidRPr="00EF627F">
                    <w:rPr>
                      <w:rFonts w:ascii="Times New Roman" w:eastAsia="Calibri" w:hAnsi="Times New Roman" w:cs="Times New Roman"/>
                      <w:lang w:eastAsia="lt-LT"/>
                    </w:rPr>
                    <w:t>monitoravimo</w:t>
                  </w:r>
                  <w:proofErr w:type="spellEnd"/>
                  <w:r w:rsidRPr="00EF627F">
                    <w:rPr>
                      <w:rFonts w:ascii="Times New Roman" w:eastAsia="Calibri" w:hAnsi="Times New Roman" w:cs="Times New Roman"/>
                      <w:lang w:eastAsia="lt-LT"/>
                    </w:rPr>
                    <w:t xml:space="preserve"> sistemų kūrimas ir </w:t>
                  </w:r>
                  <w:proofErr w:type="spellStart"/>
                  <w:r w:rsidRPr="00EF627F">
                    <w:rPr>
                      <w:rFonts w:ascii="Times New Roman" w:eastAsia="Calibri" w:hAnsi="Times New Roman" w:cs="Times New Roman"/>
                      <w:lang w:eastAsia="lt-LT"/>
                    </w:rPr>
                    <w:t>ikiklinikiniai</w:t>
                  </w:r>
                  <w:proofErr w:type="spellEnd"/>
                  <w:r w:rsidRPr="00EF627F">
                    <w:rPr>
                      <w:rFonts w:ascii="Times New Roman" w:eastAsia="Calibri" w:hAnsi="Times New Roman" w:cs="Times New Roman"/>
                      <w:lang w:eastAsia="lt-LT"/>
                    </w:rPr>
                    <w:t xml:space="preserve"> tyrimai</w:t>
                  </w:r>
                </w:p>
              </w:tc>
            </w:tr>
            <w:tr w:rsidR="00EF627F" w:rsidRPr="00EF627F" w14:paraId="732964E9" w14:textId="77777777" w:rsidTr="00444D77">
              <w:tc>
                <w:tcPr>
                  <w:tcW w:w="2923" w:type="dxa"/>
                  <w:shd w:val="clear" w:color="auto" w:fill="auto"/>
                </w:tcPr>
                <w:p w14:paraId="732964E2"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Programai skirti norminiai etatai/lėšos</w:t>
                  </w:r>
                </w:p>
              </w:tc>
              <w:tc>
                <w:tcPr>
                  <w:tcW w:w="1123" w:type="dxa"/>
                  <w:shd w:val="clear" w:color="auto" w:fill="auto"/>
                </w:tcPr>
                <w:p w14:paraId="732964E3"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2,22/ 21,3</w:t>
                  </w:r>
                </w:p>
              </w:tc>
              <w:tc>
                <w:tcPr>
                  <w:tcW w:w="1125" w:type="dxa"/>
                  <w:shd w:val="clear" w:color="auto" w:fill="auto"/>
                </w:tcPr>
                <w:p w14:paraId="732964E4"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2,22/ 21,3</w:t>
                  </w:r>
                </w:p>
              </w:tc>
              <w:tc>
                <w:tcPr>
                  <w:tcW w:w="1125" w:type="dxa"/>
                  <w:shd w:val="clear" w:color="auto" w:fill="auto"/>
                </w:tcPr>
                <w:p w14:paraId="732964E5"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2,22/ 21,3</w:t>
                  </w:r>
                </w:p>
              </w:tc>
              <w:tc>
                <w:tcPr>
                  <w:tcW w:w="1123" w:type="dxa"/>
                  <w:shd w:val="clear" w:color="auto" w:fill="auto"/>
                </w:tcPr>
                <w:p w14:paraId="732964E6"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2,22/ 21,3</w:t>
                  </w:r>
                </w:p>
              </w:tc>
              <w:tc>
                <w:tcPr>
                  <w:tcW w:w="1125" w:type="dxa"/>
                  <w:shd w:val="clear" w:color="auto" w:fill="auto"/>
                </w:tcPr>
                <w:p w14:paraId="732964E7"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2,22/ 21,3</w:t>
                  </w:r>
                </w:p>
              </w:tc>
              <w:tc>
                <w:tcPr>
                  <w:tcW w:w="978" w:type="dxa"/>
                  <w:shd w:val="clear" w:color="auto" w:fill="auto"/>
                </w:tcPr>
                <w:p w14:paraId="732964E8"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106,5</w:t>
                  </w:r>
                </w:p>
              </w:tc>
            </w:tr>
            <w:tr w:rsidR="00EF627F" w:rsidRPr="00EF627F" w14:paraId="732964F1" w14:textId="77777777" w:rsidTr="00444D77">
              <w:tc>
                <w:tcPr>
                  <w:tcW w:w="2923" w:type="dxa"/>
                  <w:shd w:val="clear" w:color="auto" w:fill="auto"/>
                </w:tcPr>
                <w:p w14:paraId="732964EA"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Kitos lėšos planuojamos programai</w:t>
                  </w:r>
                </w:p>
              </w:tc>
              <w:tc>
                <w:tcPr>
                  <w:tcW w:w="1123" w:type="dxa"/>
                  <w:shd w:val="clear" w:color="auto" w:fill="auto"/>
                </w:tcPr>
                <w:p w14:paraId="732964EB"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6,7</w:t>
                  </w:r>
                </w:p>
              </w:tc>
              <w:tc>
                <w:tcPr>
                  <w:tcW w:w="1125" w:type="dxa"/>
                  <w:shd w:val="clear" w:color="auto" w:fill="auto"/>
                </w:tcPr>
                <w:p w14:paraId="732964EC"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6,7</w:t>
                  </w:r>
                </w:p>
              </w:tc>
              <w:tc>
                <w:tcPr>
                  <w:tcW w:w="1125" w:type="dxa"/>
                  <w:shd w:val="clear" w:color="auto" w:fill="auto"/>
                </w:tcPr>
                <w:p w14:paraId="732964ED"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6,7</w:t>
                  </w:r>
                </w:p>
              </w:tc>
              <w:tc>
                <w:tcPr>
                  <w:tcW w:w="1123" w:type="dxa"/>
                  <w:shd w:val="clear" w:color="auto" w:fill="auto"/>
                </w:tcPr>
                <w:p w14:paraId="732964EE"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6,7</w:t>
                  </w:r>
                </w:p>
              </w:tc>
              <w:tc>
                <w:tcPr>
                  <w:tcW w:w="1125" w:type="dxa"/>
                  <w:shd w:val="clear" w:color="auto" w:fill="auto"/>
                </w:tcPr>
                <w:p w14:paraId="732964EF"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6,7</w:t>
                  </w:r>
                </w:p>
              </w:tc>
              <w:tc>
                <w:tcPr>
                  <w:tcW w:w="978" w:type="dxa"/>
                  <w:shd w:val="clear" w:color="auto" w:fill="auto"/>
                </w:tcPr>
                <w:p w14:paraId="732964F0"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33,5</w:t>
                  </w:r>
                </w:p>
              </w:tc>
            </w:tr>
            <w:tr w:rsidR="00EF627F" w:rsidRPr="00EF627F" w14:paraId="732964F9" w14:textId="77777777" w:rsidTr="00444D77">
              <w:tc>
                <w:tcPr>
                  <w:tcW w:w="2923" w:type="dxa"/>
                  <w:shd w:val="clear" w:color="auto" w:fill="auto"/>
                </w:tcPr>
                <w:p w14:paraId="732964F2" w14:textId="77777777" w:rsidR="00EF627F" w:rsidRPr="00EF627F" w:rsidRDefault="00EF627F" w:rsidP="00EF627F">
                  <w:pPr>
                    <w:spacing w:after="0" w:line="240" w:lineRule="auto"/>
                    <w:jc w:val="right"/>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Iš viso:</w:t>
                  </w:r>
                </w:p>
              </w:tc>
              <w:tc>
                <w:tcPr>
                  <w:tcW w:w="1123" w:type="dxa"/>
                  <w:shd w:val="clear" w:color="auto" w:fill="auto"/>
                </w:tcPr>
                <w:p w14:paraId="732964F3"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28,0</w:t>
                  </w:r>
                </w:p>
              </w:tc>
              <w:tc>
                <w:tcPr>
                  <w:tcW w:w="1125" w:type="dxa"/>
                  <w:shd w:val="clear" w:color="auto" w:fill="auto"/>
                </w:tcPr>
                <w:p w14:paraId="732964F4"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28,0</w:t>
                  </w:r>
                </w:p>
              </w:tc>
              <w:tc>
                <w:tcPr>
                  <w:tcW w:w="1125" w:type="dxa"/>
                  <w:shd w:val="clear" w:color="auto" w:fill="auto"/>
                </w:tcPr>
                <w:p w14:paraId="732964F5"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28,0</w:t>
                  </w:r>
                </w:p>
              </w:tc>
              <w:tc>
                <w:tcPr>
                  <w:tcW w:w="1123" w:type="dxa"/>
                  <w:shd w:val="clear" w:color="auto" w:fill="auto"/>
                </w:tcPr>
                <w:p w14:paraId="732964F6"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28,0</w:t>
                  </w:r>
                </w:p>
              </w:tc>
              <w:tc>
                <w:tcPr>
                  <w:tcW w:w="1125" w:type="dxa"/>
                  <w:shd w:val="clear" w:color="auto" w:fill="auto"/>
                </w:tcPr>
                <w:p w14:paraId="732964F7"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28,0</w:t>
                  </w:r>
                </w:p>
              </w:tc>
              <w:tc>
                <w:tcPr>
                  <w:tcW w:w="978" w:type="dxa"/>
                  <w:shd w:val="clear" w:color="auto" w:fill="auto"/>
                </w:tcPr>
                <w:p w14:paraId="732964F8"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140,00</w:t>
                  </w:r>
                </w:p>
              </w:tc>
            </w:tr>
            <w:tr w:rsidR="00EF627F" w:rsidRPr="00EF627F" w14:paraId="732964FB" w14:textId="77777777" w:rsidTr="00444D77">
              <w:tc>
                <w:tcPr>
                  <w:tcW w:w="9522" w:type="dxa"/>
                  <w:gridSpan w:val="7"/>
                  <w:shd w:val="clear" w:color="auto" w:fill="auto"/>
                </w:tcPr>
                <w:p w14:paraId="732964FA"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Priešvėžinės terapijos veiksmingumo ir šalutinio poveikio vertinimas</w:t>
                  </w:r>
                </w:p>
              </w:tc>
            </w:tr>
            <w:tr w:rsidR="00EF627F" w:rsidRPr="00EF627F" w14:paraId="73296503" w14:textId="77777777" w:rsidTr="00444D77">
              <w:tc>
                <w:tcPr>
                  <w:tcW w:w="2923" w:type="dxa"/>
                  <w:shd w:val="clear" w:color="auto" w:fill="auto"/>
                </w:tcPr>
                <w:p w14:paraId="732964FC"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Programai skirti norminiai etatai/lėšos</w:t>
                  </w:r>
                </w:p>
              </w:tc>
              <w:tc>
                <w:tcPr>
                  <w:tcW w:w="1123" w:type="dxa"/>
                  <w:shd w:val="clear" w:color="auto" w:fill="auto"/>
                </w:tcPr>
                <w:p w14:paraId="732964FD"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 19,2</w:t>
                  </w:r>
                </w:p>
              </w:tc>
              <w:tc>
                <w:tcPr>
                  <w:tcW w:w="1125" w:type="dxa"/>
                  <w:shd w:val="clear" w:color="auto" w:fill="auto"/>
                </w:tcPr>
                <w:p w14:paraId="732964FE" w14:textId="77777777" w:rsidR="00EF627F" w:rsidRPr="00EF627F" w:rsidRDefault="00EF627F" w:rsidP="00EF627F">
                  <w:pPr>
                    <w:spacing w:after="0" w:line="240" w:lineRule="auto"/>
                    <w:rPr>
                      <w:rFonts w:ascii="Times New Roman" w:eastAsia="Calibri" w:hAnsi="Times New Roman" w:cs="Times New Roman"/>
                    </w:rPr>
                  </w:pPr>
                  <w:r w:rsidRPr="00EF627F">
                    <w:rPr>
                      <w:rFonts w:ascii="Times New Roman" w:eastAsia="Times New Roman" w:hAnsi="Times New Roman" w:cs="Times New Roman"/>
                      <w:lang w:eastAsia="lt-LT"/>
                    </w:rPr>
                    <w:t>2/ 19,2</w:t>
                  </w:r>
                </w:p>
              </w:tc>
              <w:tc>
                <w:tcPr>
                  <w:tcW w:w="1125" w:type="dxa"/>
                  <w:shd w:val="clear" w:color="auto" w:fill="auto"/>
                </w:tcPr>
                <w:p w14:paraId="732964FF" w14:textId="77777777" w:rsidR="00EF627F" w:rsidRPr="00EF627F" w:rsidRDefault="00EF627F" w:rsidP="00EF627F">
                  <w:pPr>
                    <w:spacing w:after="0" w:line="240" w:lineRule="auto"/>
                    <w:rPr>
                      <w:rFonts w:ascii="Times New Roman" w:eastAsia="Calibri" w:hAnsi="Times New Roman" w:cs="Times New Roman"/>
                    </w:rPr>
                  </w:pPr>
                  <w:r w:rsidRPr="00EF627F">
                    <w:rPr>
                      <w:rFonts w:ascii="Times New Roman" w:eastAsia="Times New Roman" w:hAnsi="Times New Roman" w:cs="Times New Roman"/>
                      <w:lang w:eastAsia="lt-LT"/>
                    </w:rPr>
                    <w:t>2/ 19,2</w:t>
                  </w:r>
                </w:p>
              </w:tc>
              <w:tc>
                <w:tcPr>
                  <w:tcW w:w="1123" w:type="dxa"/>
                  <w:shd w:val="clear" w:color="auto" w:fill="auto"/>
                </w:tcPr>
                <w:p w14:paraId="73296500" w14:textId="77777777" w:rsidR="00EF627F" w:rsidRPr="00EF627F" w:rsidRDefault="00EF627F" w:rsidP="00EF627F">
                  <w:pPr>
                    <w:spacing w:after="0" w:line="240" w:lineRule="auto"/>
                    <w:rPr>
                      <w:rFonts w:ascii="Times New Roman" w:eastAsia="Calibri" w:hAnsi="Times New Roman" w:cs="Times New Roman"/>
                    </w:rPr>
                  </w:pPr>
                  <w:r w:rsidRPr="00EF627F">
                    <w:rPr>
                      <w:rFonts w:ascii="Times New Roman" w:eastAsia="Times New Roman" w:hAnsi="Times New Roman" w:cs="Times New Roman"/>
                      <w:lang w:eastAsia="lt-LT"/>
                    </w:rPr>
                    <w:t>2/ 19,2</w:t>
                  </w:r>
                </w:p>
              </w:tc>
              <w:tc>
                <w:tcPr>
                  <w:tcW w:w="1125" w:type="dxa"/>
                  <w:shd w:val="clear" w:color="auto" w:fill="auto"/>
                </w:tcPr>
                <w:p w14:paraId="73296501" w14:textId="77777777" w:rsidR="00EF627F" w:rsidRPr="00EF627F" w:rsidRDefault="00EF627F" w:rsidP="00EF627F">
                  <w:pPr>
                    <w:spacing w:after="0" w:line="240" w:lineRule="auto"/>
                    <w:rPr>
                      <w:rFonts w:ascii="Times New Roman" w:eastAsia="Calibri" w:hAnsi="Times New Roman" w:cs="Times New Roman"/>
                    </w:rPr>
                  </w:pPr>
                  <w:r w:rsidRPr="00EF627F">
                    <w:rPr>
                      <w:rFonts w:ascii="Times New Roman" w:eastAsia="Times New Roman" w:hAnsi="Times New Roman" w:cs="Times New Roman"/>
                      <w:lang w:eastAsia="lt-LT"/>
                    </w:rPr>
                    <w:t>2/ 19,2</w:t>
                  </w:r>
                </w:p>
              </w:tc>
              <w:tc>
                <w:tcPr>
                  <w:tcW w:w="978" w:type="dxa"/>
                  <w:shd w:val="clear" w:color="auto" w:fill="auto"/>
                </w:tcPr>
                <w:p w14:paraId="73296502"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96,0</w:t>
                  </w:r>
                </w:p>
              </w:tc>
            </w:tr>
            <w:tr w:rsidR="00EF627F" w:rsidRPr="00EF627F" w14:paraId="7329650B" w14:textId="77777777" w:rsidTr="00444D77">
              <w:tc>
                <w:tcPr>
                  <w:tcW w:w="2923" w:type="dxa"/>
                  <w:shd w:val="clear" w:color="auto" w:fill="auto"/>
                </w:tcPr>
                <w:p w14:paraId="73296504"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Kitos lėšos planuojamos programai</w:t>
                  </w:r>
                </w:p>
              </w:tc>
              <w:tc>
                <w:tcPr>
                  <w:tcW w:w="1123" w:type="dxa"/>
                  <w:shd w:val="clear" w:color="auto" w:fill="auto"/>
                </w:tcPr>
                <w:p w14:paraId="73296505"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8,7</w:t>
                  </w:r>
                </w:p>
              </w:tc>
              <w:tc>
                <w:tcPr>
                  <w:tcW w:w="1125" w:type="dxa"/>
                  <w:shd w:val="clear" w:color="auto" w:fill="auto"/>
                </w:tcPr>
                <w:p w14:paraId="73296506"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8,7</w:t>
                  </w:r>
                </w:p>
              </w:tc>
              <w:tc>
                <w:tcPr>
                  <w:tcW w:w="1125" w:type="dxa"/>
                  <w:shd w:val="clear" w:color="auto" w:fill="auto"/>
                </w:tcPr>
                <w:p w14:paraId="73296507"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8,7</w:t>
                  </w:r>
                </w:p>
              </w:tc>
              <w:tc>
                <w:tcPr>
                  <w:tcW w:w="1123" w:type="dxa"/>
                  <w:shd w:val="clear" w:color="auto" w:fill="auto"/>
                </w:tcPr>
                <w:p w14:paraId="73296508"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8,7</w:t>
                  </w:r>
                </w:p>
              </w:tc>
              <w:tc>
                <w:tcPr>
                  <w:tcW w:w="1125" w:type="dxa"/>
                  <w:shd w:val="clear" w:color="auto" w:fill="auto"/>
                </w:tcPr>
                <w:p w14:paraId="73296509"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8,7</w:t>
                  </w:r>
                </w:p>
              </w:tc>
              <w:tc>
                <w:tcPr>
                  <w:tcW w:w="978" w:type="dxa"/>
                  <w:shd w:val="clear" w:color="auto" w:fill="auto"/>
                </w:tcPr>
                <w:p w14:paraId="7329650A"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43,5</w:t>
                  </w:r>
                </w:p>
              </w:tc>
            </w:tr>
            <w:tr w:rsidR="00EF627F" w:rsidRPr="00EF627F" w14:paraId="73296513" w14:textId="77777777" w:rsidTr="00444D77">
              <w:tc>
                <w:tcPr>
                  <w:tcW w:w="2923" w:type="dxa"/>
                  <w:shd w:val="clear" w:color="auto" w:fill="auto"/>
                </w:tcPr>
                <w:p w14:paraId="7329650C" w14:textId="77777777" w:rsidR="00EF627F" w:rsidRPr="00EF627F" w:rsidRDefault="00EF627F" w:rsidP="00EF627F">
                  <w:pPr>
                    <w:spacing w:after="0" w:line="240" w:lineRule="auto"/>
                    <w:jc w:val="right"/>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Iš viso:</w:t>
                  </w:r>
                </w:p>
              </w:tc>
              <w:tc>
                <w:tcPr>
                  <w:tcW w:w="1123" w:type="dxa"/>
                  <w:shd w:val="clear" w:color="auto" w:fill="auto"/>
                </w:tcPr>
                <w:p w14:paraId="7329650D"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1125" w:type="dxa"/>
                  <w:shd w:val="clear" w:color="auto" w:fill="auto"/>
                </w:tcPr>
                <w:p w14:paraId="7329650E"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1125" w:type="dxa"/>
                  <w:shd w:val="clear" w:color="auto" w:fill="auto"/>
                </w:tcPr>
                <w:p w14:paraId="7329650F"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1123" w:type="dxa"/>
                  <w:shd w:val="clear" w:color="auto" w:fill="auto"/>
                </w:tcPr>
                <w:p w14:paraId="73296510"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1125" w:type="dxa"/>
                  <w:shd w:val="clear" w:color="auto" w:fill="auto"/>
                </w:tcPr>
                <w:p w14:paraId="73296511"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978" w:type="dxa"/>
                  <w:shd w:val="clear" w:color="auto" w:fill="auto"/>
                </w:tcPr>
                <w:p w14:paraId="73296512"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139,5</w:t>
                  </w:r>
                </w:p>
              </w:tc>
            </w:tr>
            <w:tr w:rsidR="00EF627F" w:rsidRPr="00EF627F" w14:paraId="73296515" w14:textId="77777777" w:rsidTr="00444D77">
              <w:tc>
                <w:tcPr>
                  <w:tcW w:w="9522" w:type="dxa"/>
                  <w:gridSpan w:val="7"/>
                  <w:shd w:val="clear" w:color="auto" w:fill="auto"/>
                </w:tcPr>
                <w:p w14:paraId="73296514"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proofErr w:type="spellStart"/>
                  <w:r w:rsidRPr="00EF627F">
                    <w:rPr>
                      <w:rFonts w:ascii="Times New Roman" w:eastAsia="Times New Roman" w:hAnsi="Times New Roman" w:cs="Times New Roman"/>
                      <w:lang w:eastAsia="lt-LT"/>
                    </w:rPr>
                    <w:t>Biobanko</w:t>
                  </w:r>
                  <w:proofErr w:type="spellEnd"/>
                  <w:r w:rsidRPr="00EF627F">
                    <w:rPr>
                      <w:rFonts w:ascii="Times New Roman" w:eastAsia="Times New Roman" w:hAnsi="Times New Roman" w:cs="Times New Roman"/>
                      <w:lang w:eastAsia="lt-LT"/>
                    </w:rPr>
                    <w:t xml:space="preserve"> resursų panaudojimas gydymo metodų efektyvumo įvertinimui ir žymenų sistemų diegimui</w:t>
                  </w:r>
                </w:p>
              </w:tc>
            </w:tr>
            <w:tr w:rsidR="00EF627F" w:rsidRPr="00EF627F" w14:paraId="7329651D" w14:textId="77777777" w:rsidTr="00444D77">
              <w:tc>
                <w:tcPr>
                  <w:tcW w:w="2923" w:type="dxa"/>
                  <w:shd w:val="clear" w:color="auto" w:fill="auto"/>
                </w:tcPr>
                <w:p w14:paraId="73296516"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Programai skirti norminiai etatai/lėšos</w:t>
                  </w:r>
                </w:p>
              </w:tc>
              <w:tc>
                <w:tcPr>
                  <w:tcW w:w="1123" w:type="dxa"/>
                  <w:shd w:val="clear" w:color="auto" w:fill="auto"/>
                </w:tcPr>
                <w:p w14:paraId="73296517"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 19,2</w:t>
                  </w:r>
                </w:p>
              </w:tc>
              <w:tc>
                <w:tcPr>
                  <w:tcW w:w="1125" w:type="dxa"/>
                  <w:shd w:val="clear" w:color="auto" w:fill="auto"/>
                </w:tcPr>
                <w:p w14:paraId="73296518"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2/ 19,2</w:t>
                  </w:r>
                </w:p>
              </w:tc>
              <w:tc>
                <w:tcPr>
                  <w:tcW w:w="1125" w:type="dxa"/>
                  <w:shd w:val="clear" w:color="auto" w:fill="auto"/>
                </w:tcPr>
                <w:p w14:paraId="73296519"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2/ 19,2</w:t>
                  </w:r>
                </w:p>
              </w:tc>
              <w:tc>
                <w:tcPr>
                  <w:tcW w:w="1123" w:type="dxa"/>
                  <w:shd w:val="clear" w:color="auto" w:fill="auto"/>
                </w:tcPr>
                <w:p w14:paraId="7329651A"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2/ 19,2</w:t>
                  </w:r>
                </w:p>
              </w:tc>
              <w:tc>
                <w:tcPr>
                  <w:tcW w:w="1125" w:type="dxa"/>
                  <w:shd w:val="clear" w:color="auto" w:fill="auto"/>
                </w:tcPr>
                <w:p w14:paraId="7329651B"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2/ 19,2</w:t>
                  </w:r>
                </w:p>
              </w:tc>
              <w:tc>
                <w:tcPr>
                  <w:tcW w:w="978" w:type="dxa"/>
                  <w:shd w:val="clear" w:color="auto" w:fill="auto"/>
                </w:tcPr>
                <w:p w14:paraId="7329651C"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96,0</w:t>
                  </w:r>
                </w:p>
              </w:tc>
            </w:tr>
            <w:tr w:rsidR="00EF627F" w:rsidRPr="00EF627F" w14:paraId="73296525" w14:textId="77777777" w:rsidTr="00444D77">
              <w:tc>
                <w:tcPr>
                  <w:tcW w:w="2923" w:type="dxa"/>
                  <w:shd w:val="clear" w:color="auto" w:fill="auto"/>
                </w:tcPr>
                <w:p w14:paraId="7329651E"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Kitos lėšos planuojamos programai</w:t>
                  </w:r>
                </w:p>
              </w:tc>
              <w:tc>
                <w:tcPr>
                  <w:tcW w:w="1123" w:type="dxa"/>
                  <w:shd w:val="clear" w:color="auto" w:fill="auto"/>
                </w:tcPr>
                <w:p w14:paraId="7329651F"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8,7</w:t>
                  </w:r>
                </w:p>
              </w:tc>
              <w:tc>
                <w:tcPr>
                  <w:tcW w:w="1125" w:type="dxa"/>
                  <w:shd w:val="clear" w:color="auto" w:fill="auto"/>
                </w:tcPr>
                <w:p w14:paraId="73296520"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8,7</w:t>
                  </w:r>
                </w:p>
              </w:tc>
              <w:tc>
                <w:tcPr>
                  <w:tcW w:w="1125" w:type="dxa"/>
                  <w:shd w:val="clear" w:color="auto" w:fill="auto"/>
                </w:tcPr>
                <w:p w14:paraId="73296521"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8,7</w:t>
                  </w:r>
                </w:p>
              </w:tc>
              <w:tc>
                <w:tcPr>
                  <w:tcW w:w="1123" w:type="dxa"/>
                  <w:shd w:val="clear" w:color="auto" w:fill="auto"/>
                </w:tcPr>
                <w:p w14:paraId="73296522"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8,7</w:t>
                  </w:r>
                </w:p>
              </w:tc>
              <w:tc>
                <w:tcPr>
                  <w:tcW w:w="1125" w:type="dxa"/>
                  <w:shd w:val="clear" w:color="auto" w:fill="auto"/>
                </w:tcPr>
                <w:p w14:paraId="73296523"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8,7</w:t>
                  </w:r>
                </w:p>
              </w:tc>
              <w:tc>
                <w:tcPr>
                  <w:tcW w:w="978" w:type="dxa"/>
                  <w:shd w:val="clear" w:color="auto" w:fill="auto"/>
                </w:tcPr>
                <w:p w14:paraId="73296524"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43,5</w:t>
                  </w:r>
                </w:p>
              </w:tc>
            </w:tr>
            <w:tr w:rsidR="00EF627F" w:rsidRPr="00EF627F" w14:paraId="7329652D" w14:textId="77777777" w:rsidTr="00444D77">
              <w:tc>
                <w:tcPr>
                  <w:tcW w:w="2923" w:type="dxa"/>
                  <w:shd w:val="clear" w:color="auto" w:fill="auto"/>
                </w:tcPr>
                <w:p w14:paraId="73296526" w14:textId="77777777" w:rsidR="00EF627F" w:rsidRPr="00EF627F" w:rsidRDefault="00EF627F" w:rsidP="00EF627F">
                  <w:pPr>
                    <w:spacing w:after="0" w:line="240" w:lineRule="auto"/>
                    <w:jc w:val="right"/>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Iš viso:</w:t>
                  </w:r>
                </w:p>
              </w:tc>
              <w:tc>
                <w:tcPr>
                  <w:tcW w:w="1123" w:type="dxa"/>
                  <w:shd w:val="clear" w:color="auto" w:fill="auto"/>
                </w:tcPr>
                <w:p w14:paraId="73296527"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1125" w:type="dxa"/>
                  <w:shd w:val="clear" w:color="auto" w:fill="auto"/>
                </w:tcPr>
                <w:p w14:paraId="73296528"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1125" w:type="dxa"/>
                  <w:shd w:val="clear" w:color="auto" w:fill="auto"/>
                </w:tcPr>
                <w:p w14:paraId="73296529"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1123" w:type="dxa"/>
                  <w:shd w:val="clear" w:color="auto" w:fill="auto"/>
                </w:tcPr>
                <w:p w14:paraId="7329652A"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1125" w:type="dxa"/>
                  <w:shd w:val="clear" w:color="auto" w:fill="auto"/>
                </w:tcPr>
                <w:p w14:paraId="7329652B"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27,9</w:t>
                  </w:r>
                </w:p>
              </w:tc>
              <w:tc>
                <w:tcPr>
                  <w:tcW w:w="978" w:type="dxa"/>
                  <w:shd w:val="clear" w:color="auto" w:fill="auto"/>
                </w:tcPr>
                <w:p w14:paraId="7329652C"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139,5</w:t>
                  </w:r>
                </w:p>
              </w:tc>
            </w:tr>
            <w:tr w:rsidR="00EF627F" w:rsidRPr="00EF627F" w14:paraId="7329652F" w14:textId="77777777" w:rsidTr="00444D77">
              <w:tc>
                <w:tcPr>
                  <w:tcW w:w="9522" w:type="dxa"/>
                  <w:gridSpan w:val="7"/>
                  <w:shd w:val="clear" w:color="auto" w:fill="auto"/>
                </w:tcPr>
                <w:p w14:paraId="7329652E"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Iš viso uždaviniui:</w:t>
                  </w:r>
                </w:p>
              </w:tc>
            </w:tr>
            <w:tr w:rsidR="00EF627F" w:rsidRPr="00EF627F" w14:paraId="73296537" w14:textId="77777777" w:rsidTr="00444D77">
              <w:tc>
                <w:tcPr>
                  <w:tcW w:w="2923" w:type="dxa"/>
                  <w:shd w:val="clear" w:color="auto" w:fill="auto"/>
                </w:tcPr>
                <w:p w14:paraId="73296530"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Programai skirti norminiai etatai/lėšos</w:t>
                  </w:r>
                </w:p>
              </w:tc>
              <w:tc>
                <w:tcPr>
                  <w:tcW w:w="1123" w:type="dxa"/>
                  <w:shd w:val="clear" w:color="auto" w:fill="auto"/>
                </w:tcPr>
                <w:p w14:paraId="73296531"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6,22/59,7</w:t>
                  </w:r>
                </w:p>
              </w:tc>
              <w:tc>
                <w:tcPr>
                  <w:tcW w:w="1125" w:type="dxa"/>
                  <w:shd w:val="clear" w:color="auto" w:fill="auto"/>
                </w:tcPr>
                <w:p w14:paraId="73296532"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6,22/59,7</w:t>
                  </w:r>
                </w:p>
              </w:tc>
              <w:tc>
                <w:tcPr>
                  <w:tcW w:w="1125" w:type="dxa"/>
                  <w:shd w:val="clear" w:color="auto" w:fill="auto"/>
                </w:tcPr>
                <w:p w14:paraId="73296533"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6,22/59,7</w:t>
                  </w:r>
                </w:p>
              </w:tc>
              <w:tc>
                <w:tcPr>
                  <w:tcW w:w="1123" w:type="dxa"/>
                  <w:shd w:val="clear" w:color="auto" w:fill="auto"/>
                </w:tcPr>
                <w:p w14:paraId="73296534"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6,22/59,7</w:t>
                  </w:r>
                </w:p>
              </w:tc>
              <w:tc>
                <w:tcPr>
                  <w:tcW w:w="1125" w:type="dxa"/>
                  <w:shd w:val="clear" w:color="auto" w:fill="auto"/>
                </w:tcPr>
                <w:p w14:paraId="73296535"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6,22/59,7</w:t>
                  </w:r>
                </w:p>
              </w:tc>
              <w:tc>
                <w:tcPr>
                  <w:tcW w:w="978" w:type="dxa"/>
                  <w:shd w:val="clear" w:color="auto" w:fill="auto"/>
                </w:tcPr>
                <w:p w14:paraId="73296536"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298,5</w:t>
                  </w:r>
                </w:p>
              </w:tc>
            </w:tr>
            <w:tr w:rsidR="00EF627F" w:rsidRPr="00EF627F" w14:paraId="7329653F" w14:textId="77777777" w:rsidTr="00444D77">
              <w:tc>
                <w:tcPr>
                  <w:tcW w:w="2923" w:type="dxa"/>
                  <w:shd w:val="clear" w:color="auto" w:fill="auto"/>
                </w:tcPr>
                <w:p w14:paraId="73296538" w14:textId="77777777" w:rsidR="00EF627F" w:rsidRPr="00EF627F" w:rsidRDefault="00EF627F" w:rsidP="00EF627F">
                  <w:pPr>
                    <w:spacing w:after="0" w:line="240" w:lineRule="auto"/>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Kitos lėšos planuojamos programai</w:t>
                  </w:r>
                </w:p>
              </w:tc>
              <w:tc>
                <w:tcPr>
                  <w:tcW w:w="1123" w:type="dxa"/>
                  <w:shd w:val="clear" w:color="auto" w:fill="auto"/>
                </w:tcPr>
                <w:p w14:paraId="73296539"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24,1</w:t>
                  </w:r>
                </w:p>
              </w:tc>
              <w:tc>
                <w:tcPr>
                  <w:tcW w:w="1125" w:type="dxa"/>
                  <w:shd w:val="clear" w:color="auto" w:fill="auto"/>
                </w:tcPr>
                <w:p w14:paraId="7329653A"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24,1</w:t>
                  </w:r>
                </w:p>
              </w:tc>
              <w:tc>
                <w:tcPr>
                  <w:tcW w:w="1125" w:type="dxa"/>
                  <w:shd w:val="clear" w:color="auto" w:fill="auto"/>
                </w:tcPr>
                <w:p w14:paraId="7329653B"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24,1</w:t>
                  </w:r>
                </w:p>
              </w:tc>
              <w:tc>
                <w:tcPr>
                  <w:tcW w:w="1123" w:type="dxa"/>
                  <w:shd w:val="clear" w:color="auto" w:fill="auto"/>
                </w:tcPr>
                <w:p w14:paraId="7329653C"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24,1</w:t>
                  </w:r>
                </w:p>
              </w:tc>
              <w:tc>
                <w:tcPr>
                  <w:tcW w:w="1125" w:type="dxa"/>
                  <w:shd w:val="clear" w:color="auto" w:fill="auto"/>
                </w:tcPr>
                <w:p w14:paraId="7329653D"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Calibri" w:hAnsi="Times New Roman" w:cs="Times New Roman"/>
                    </w:rPr>
                    <w:t>24,1</w:t>
                  </w:r>
                </w:p>
              </w:tc>
              <w:tc>
                <w:tcPr>
                  <w:tcW w:w="978" w:type="dxa"/>
                  <w:shd w:val="clear" w:color="auto" w:fill="auto"/>
                </w:tcPr>
                <w:p w14:paraId="7329653E"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120,5</w:t>
                  </w:r>
                </w:p>
              </w:tc>
            </w:tr>
            <w:tr w:rsidR="00EF627F" w:rsidRPr="00EF627F" w14:paraId="73296547" w14:textId="77777777" w:rsidTr="00444D77">
              <w:tc>
                <w:tcPr>
                  <w:tcW w:w="2923" w:type="dxa"/>
                  <w:shd w:val="clear" w:color="auto" w:fill="auto"/>
                </w:tcPr>
                <w:p w14:paraId="73296540" w14:textId="77777777" w:rsidR="00EF627F" w:rsidRPr="00EF627F" w:rsidRDefault="00EF627F" w:rsidP="00EF627F">
                  <w:pPr>
                    <w:spacing w:after="0" w:line="240" w:lineRule="auto"/>
                    <w:jc w:val="right"/>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Iš viso:</w:t>
                  </w:r>
                </w:p>
              </w:tc>
              <w:tc>
                <w:tcPr>
                  <w:tcW w:w="1123" w:type="dxa"/>
                  <w:shd w:val="clear" w:color="auto" w:fill="auto"/>
                </w:tcPr>
                <w:p w14:paraId="73296541"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83,8</w:t>
                  </w:r>
                </w:p>
              </w:tc>
              <w:tc>
                <w:tcPr>
                  <w:tcW w:w="1125" w:type="dxa"/>
                  <w:shd w:val="clear" w:color="auto" w:fill="auto"/>
                </w:tcPr>
                <w:p w14:paraId="73296542" w14:textId="77777777" w:rsidR="00EF627F" w:rsidRPr="00EF627F" w:rsidRDefault="00EF627F" w:rsidP="00EF627F">
                  <w:pPr>
                    <w:spacing w:after="0" w:line="240" w:lineRule="auto"/>
                    <w:rPr>
                      <w:rFonts w:ascii="Times New Roman" w:eastAsia="Calibri" w:hAnsi="Times New Roman" w:cs="Times New Roman"/>
                    </w:rPr>
                  </w:pPr>
                  <w:r w:rsidRPr="00EF627F">
                    <w:rPr>
                      <w:rFonts w:ascii="Times New Roman" w:eastAsia="Times New Roman" w:hAnsi="Times New Roman" w:cs="Times New Roman"/>
                      <w:lang w:eastAsia="lt-LT"/>
                    </w:rPr>
                    <w:t>83,8</w:t>
                  </w:r>
                </w:p>
              </w:tc>
              <w:tc>
                <w:tcPr>
                  <w:tcW w:w="1125" w:type="dxa"/>
                  <w:shd w:val="clear" w:color="auto" w:fill="auto"/>
                </w:tcPr>
                <w:p w14:paraId="73296543" w14:textId="77777777" w:rsidR="00EF627F" w:rsidRPr="00EF627F" w:rsidRDefault="00EF627F" w:rsidP="00EF627F">
                  <w:pPr>
                    <w:spacing w:after="0" w:line="240" w:lineRule="auto"/>
                    <w:rPr>
                      <w:rFonts w:ascii="Times New Roman" w:eastAsia="Calibri" w:hAnsi="Times New Roman" w:cs="Times New Roman"/>
                    </w:rPr>
                  </w:pPr>
                  <w:r w:rsidRPr="00EF627F">
                    <w:rPr>
                      <w:rFonts w:ascii="Times New Roman" w:eastAsia="Times New Roman" w:hAnsi="Times New Roman" w:cs="Times New Roman"/>
                      <w:lang w:eastAsia="lt-LT"/>
                    </w:rPr>
                    <w:t>83,8</w:t>
                  </w:r>
                </w:p>
              </w:tc>
              <w:tc>
                <w:tcPr>
                  <w:tcW w:w="1123" w:type="dxa"/>
                  <w:shd w:val="clear" w:color="auto" w:fill="auto"/>
                </w:tcPr>
                <w:p w14:paraId="73296544" w14:textId="77777777" w:rsidR="00EF627F" w:rsidRPr="00EF627F" w:rsidRDefault="00EF627F" w:rsidP="00EF627F">
                  <w:pPr>
                    <w:spacing w:after="0" w:line="240" w:lineRule="auto"/>
                    <w:rPr>
                      <w:rFonts w:ascii="Times New Roman" w:eastAsia="Calibri" w:hAnsi="Times New Roman" w:cs="Times New Roman"/>
                    </w:rPr>
                  </w:pPr>
                  <w:r w:rsidRPr="00EF627F">
                    <w:rPr>
                      <w:rFonts w:ascii="Times New Roman" w:eastAsia="Times New Roman" w:hAnsi="Times New Roman" w:cs="Times New Roman"/>
                      <w:lang w:eastAsia="lt-LT"/>
                    </w:rPr>
                    <w:t>83,8</w:t>
                  </w:r>
                </w:p>
              </w:tc>
              <w:tc>
                <w:tcPr>
                  <w:tcW w:w="1125" w:type="dxa"/>
                  <w:shd w:val="clear" w:color="auto" w:fill="auto"/>
                </w:tcPr>
                <w:p w14:paraId="73296545" w14:textId="77777777" w:rsidR="00EF627F" w:rsidRPr="00EF627F" w:rsidRDefault="00EF627F" w:rsidP="00EF627F">
                  <w:pPr>
                    <w:spacing w:after="0" w:line="240" w:lineRule="auto"/>
                    <w:rPr>
                      <w:rFonts w:ascii="Times New Roman" w:eastAsia="Calibri" w:hAnsi="Times New Roman" w:cs="Times New Roman"/>
                    </w:rPr>
                  </w:pPr>
                  <w:r w:rsidRPr="00EF627F">
                    <w:rPr>
                      <w:rFonts w:ascii="Times New Roman" w:eastAsia="Times New Roman" w:hAnsi="Times New Roman" w:cs="Times New Roman"/>
                      <w:lang w:eastAsia="lt-LT"/>
                    </w:rPr>
                    <w:t>83,8</w:t>
                  </w:r>
                </w:p>
              </w:tc>
              <w:tc>
                <w:tcPr>
                  <w:tcW w:w="978" w:type="dxa"/>
                  <w:shd w:val="clear" w:color="auto" w:fill="auto"/>
                </w:tcPr>
                <w:p w14:paraId="73296546" w14:textId="77777777" w:rsidR="00EF627F" w:rsidRPr="00EF627F" w:rsidRDefault="00EF627F" w:rsidP="00EF627F">
                  <w:pPr>
                    <w:spacing w:after="0" w:line="240" w:lineRule="auto"/>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419,0</w:t>
                  </w:r>
                </w:p>
              </w:tc>
            </w:tr>
          </w:tbl>
          <w:p w14:paraId="73296548" w14:textId="77777777" w:rsidR="00EF627F" w:rsidRPr="00EF627F" w:rsidRDefault="00EF627F" w:rsidP="00EF627F">
            <w:pPr>
              <w:spacing w:after="0" w:line="240" w:lineRule="auto"/>
              <w:jc w:val="both"/>
              <w:rPr>
                <w:rFonts w:ascii="Times New Roman" w:eastAsia="Times New Roman" w:hAnsi="Times New Roman" w:cs="Times New Roman"/>
                <w:b/>
                <w:sz w:val="24"/>
                <w:szCs w:val="24"/>
                <w:lang w:eastAsia="lt-LT"/>
              </w:rPr>
            </w:pPr>
            <w:r w:rsidRPr="00EF627F">
              <w:rPr>
                <w:rFonts w:ascii="Times New Roman" w:eastAsia="Times New Roman" w:hAnsi="Times New Roman" w:cs="Times New Roman"/>
                <w:b/>
                <w:sz w:val="24"/>
                <w:szCs w:val="24"/>
                <w:lang w:eastAsia="lt-LT"/>
              </w:rPr>
              <w:t xml:space="preserve">    6. Numatomi rezultatai:</w:t>
            </w:r>
          </w:p>
          <w:p w14:paraId="73296549" w14:textId="77777777" w:rsidR="00EF627F" w:rsidRPr="00EF627F" w:rsidRDefault="00EF627F" w:rsidP="00EF627F">
            <w:pPr>
              <w:spacing w:after="0" w:line="240" w:lineRule="auto"/>
              <w:contextualSpacing/>
              <w:jc w:val="both"/>
              <w:rPr>
                <w:rFonts w:ascii="Times New Roman" w:eastAsia="Times New Roman" w:hAnsi="Times New Roman" w:cs="Times New Roman"/>
                <w:b/>
                <w:color w:val="000000"/>
                <w:sz w:val="24"/>
                <w:szCs w:val="24"/>
                <w:lang w:eastAsia="lt-LT"/>
              </w:rPr>
            </w:pPr>
            <w:r w:rsidRPr="00EF627F">
              <w:rPr>
                <w:rFonts w:ascii="Times New Roman" w:eastAsia="Times New Roman" w:hAnsi="Times New Roman" w:cs="Times New Roman"/>
                <w:sz w:val="24"/>
                <w:szCs w:val="24"/>
                <w:lang w:eastAsia="lt-LT"/>
              </w:rPr>
              <w:t xml:space="preserve">Įgyvendinant šią programą per 5 metus bus parengta bent 10 publikacijų ISI WOS sąrašo leidiniuose ir kituose periodiniuose recenzuojamuose mokslo leidiniuose. Taip pat planuojama </w:t>
            </w:r>
            <w:r w:rsidRPr="00EF627F">
              <w:rPr>
                <w:rFonts w:ascii="Times New Roman" w:eastAsia="Times New Roman" w:hAnsi="Times New Roman" w:cs="Times New Roman"/>
                <w:sz w:val="24"/>
                <w:szCs w:val="24"/>
                <w:lang w:eastAsia="lt-LT"/>
              </w:rPr>
              <w:lastRenderedPageBreak/>
              <w:t>parengti bent 2</w:t>
            </w:r>
            <w:r w:rsidRPr="00EF627F">
              <w:rPr>
                <w:rFonts w:ascii="Times New Roman" w:eastAsia="Calibri" w:hAnsi="Times New Roman" w:cs="Times New Roman"/>
                <w:bCs/>
                <w:sz w:val="24"/>
                <w:szCs w:val="24"/>
                <w:lang w:eastAsia="lt-LT"/>
              </w:rPr>
              <w:t xml:space="preserve"> rekomendacijas priešvėžinės terapijos individualizavimo plėtrai. </w:t>
            </w:r>
            <w:r w:rsidRPr="00EF627F">
              <w:rPr>
                <w:rFonts w:ascii="Times New Roman" w:eastAsia="Calibri" w:hAnsi="Times New Roman" w:cs="Times New Roman"/>
                <w:bCs/>
                <w:color w:val="000000"/>
                <w:sz w:val="24"/>
                <w:szCs w:val="24"/>
                <w:lang w:eastAsia="lt-LT"/>
              </w:rPr>
              <w:t>Planuojama pateikti bent 3 paraiškas mokslo projektų finansavimui, apginti bent 3 mokslo daktaro disertacijas, parengti 5 baigiamuosius studentų darbus. Taip pat, bus vykdomos bent 2 rezidentūros studijos, bent 3 medicinos studijų studentų vasaros praktikos, 3 studentų integruotos internatūros praktikos.</w:t>
            </w:r>
          </w:p>
        </w:tc>
      </w:tr>
      <w:tr w:rsidR="00EF627F" w:rsidRPr="00EF627F" w14:paraId="7329654D" w14:textId="77777777" w:rsidTr="00444D77">
        <w:tc>
          <w:tcPr>
            <w:tcW w:w="9749" w:type="dxa"/>
            <w:shd w:val="clear" w:color="auto" w:fill="auto"/>
          </w:tcPr>
          <w:p w14:paraId="7329654B" w14:textId="77777777" w:rsidR="00EF627F" w:rsidRPr="00EF627F" w:rsidRDefault="00EF627F" w:rsidP="00EF627F">
            <w:pPr>
              <w:spacing w:after="0" w:line="240" w:lineRule="auto"/>
              <w:jc w:val="both"/>
              <w:rPr>
                <w:rFonts w:ascii="Times New Roman" w:eastAsia="Times New Roman" w:hAnsi="Times New Roman" w:cs="Times New Roman"/>
                <w:b/>
                <w:sz w:val="24"/>
                <w:szCs w:val="24"/>
                <w:lang w:eastAsia="lt-LT"/>
              </w:rPr>
            </w:pPr>
            <w:r w:rsidRPr="00EF627F">
              <w:rPr>
                <w:rFonts w:ascii="Times New Roman" w:eastAsia="Times New Roman" w:hAnsi="Times New Roman" w:cs="Times New Roman"/>
                <w:b/>
                <w:sz w:val="24"/>
                <w:szCs w:val="24"/>
                <w:lang w:eastAsia="lt-LT"/>
              </w:rPr>
              <w:lastRenderedPageBreak/>
              <w:t xml:space="preserve">    7. Rezultatų sklaidos priemonės:</w:t>
            </w:r>
          </w:p>
          <w:p w14:paraId="7329654C" w14:textId="77777777" w:rsidR="00EF627F" w:rsidRPr="00EF627F" w:rsidRDefault="00EF627F" w:rsidP="00EF627F">
            <w:pPr>
              <w:spacing w:after="0" w:line="240" w:lineRule="auto"/>
              <w:jc w:val="both"/>
              <w:rPr>
                <w:rFonts w:ascii="Times New Roman" w:eastAsia="Times New Roman" w:hAnsi="Times New Roman" w:cs="Times New Roman"/>
                <w:b/>
                <w:sz w:val="24"/>
                <w:szCs w:val="24"/>
                <w:lang w:eastAsia="lt-LT"/>
              </w:rPr>
            </w:pPr>
            <w:r w:rsidRPr="00EF627F">
              <w:rPr>
                <w:rFonts w:ascii="Times New Roman" w:eastAsia="Times New Roman" w:hAnsi="Times New Roman" w:cs="Times New Roman"/>
                <w:sz w:val="24"/>
                <w:szCs w:val="24"/>
                <w:lang w:eastAsia="lt-LT"/>
              </w:rPr>
              <w:t xml:space="preserve">Įgyvendinant programą per 5 metus bus parengta bent 5 pranešimai nacionalinėse ir tarptautinėse mokslo konferencijose, 5 mokslo populiarinimo straipsniai, </w:t>
            </w:r>
            <w:r w:rsidRPr="00EF627F">
              <w:rPr>
                <w:rFonts w:ascii="Times New Roman" w:eastAsia="Calibri" w:hAnsi="Times New Roman" w:cs="Times New Roman"/>
                <w:sz w:val="24"/>
                <w:szCs w:val="24"/>
              </w:rPr>
              <w:t>informacinių pranešimai</w:t>
            </w:r>
            <w:r w:rsidRPr="00EF627F">
              <w:rPr>
                <w:rFonts w:ascii="Times New Roman" w:eastAsia="Times New Roman" w:hAnsi="Times New Roman" w:cs="Times New Roman"/>
                <w:sz w:val="24"/>
                <w:szCs w:val="24"/>
                <w:lang w:eastAsia="lt-LT"/>
              </w:rPr>
              <w:t xml:space="preserve"> Nacionalinio vėžio instituto interneto svetainėje</w:t>
            </w:r>
            <w:r w:rsidRPr="00EF627F">
              <w:rPr>
                <w:rFonts w:ascii="Times New Roman" w:eastAsia="Calibri" w:hAnsi="Times New Roman" w:cs="Times New Roman"/>
                <w:sz w:val="24"/>
                <w:szCs w:val="24"/>
              </w:rPr>
              <w:t xml:space="preserve">. </w:t>
            </w:r>
            <w:r w:rsidRPr="00EF627F">
              <w:rPr>
                <w:rFonts w:ascii="Times New Roman" w:eastAsia="Calibri" w:hAnsi="Times New Roman" w:cs="Times New Roman"/>
                <w:color w:val="000000"/>
                <w:sz w:val="24"/>
                <w:szCs w:val="24"/>
              </w:rPr>
              <w:t>Bus o</w:t>
            </w:r>
            <w:r w:rsidRPr="00EF627F">
              <w:rPr>
                <w:rFonts w:ascii="Times New Roman" w:eastAsia="Calibri" w:hAnsi="Times New Roman" w:cs="Times New Roman"/>
                <w:bCs/>
                <w:color w:val="000000"/>
                <w:sz w:val="24"/>
                <w:szCs w:val="24"/>
                <w:lang w:eastAsia="lt-LT"/>
              </w:rPr>
              <w:t>rganizuojamos bent 2 tarptautinės mokslinės-praktinės konferencijos ar mokslinių-praktinių seminarų ciklai sveikatos priežiūros specialistų ir mokslo darbuotojų kvalifikacijos tobulinimui.</w:t>
            </w:r>
            <w:r w:rsidRPr="00EF627F">
              <w:rPr>
                <w:rFonts w:ascii="Times New Roman" w:eastAsia="Times New Roman" w:hAnsi="Times New Roman" w:cs="Times New Roman"/>
                <w:sz w:val="24"/>
                <w:szCs w:val="24"/>
                <w:lang w:eastAsia="lt-LT"/>
              </w:rPr>
              <w:t xml:space="preserve"> Rezultatai kasmet bus skelbiami tarptautinėse onkologų, molekulinės biologijos, </w:t>
            </w:r>
            <w:proofErr w:type="spellStart"/>
            <w:r w:rsidRPr="00EF627F">
              <w:rPr>
                <w:rFonts w:ascii="Times New Roman" w:eastAsia="Times New Roman" w:hAnsi="Times New Roman" w:cs="Times New Roman"/>
                <w:sz w:val="24"/>
                <w:szCs w:val="24"/>
                <w:lang w:eastAsia="lt-LT"/>
              </w:rPr>
              <w:t>biobankų</w:t>
            </w:r>
            <w:proofErr w:type="spellEnd"/>
            <w:r w:rsidRPr="00EF627F">
              <w:rPr>
                <w:rFonts w:ascii="Times New Roman" w:eastAsia="Times New Roman" w:hAnsi="Times New Roman" w:cs="Times New Roman"/>
                <w:sz w:val="24"/>
                <w:szCs w:val="24"/>
                <w:lang w:eastAsia="lt-LT"/>
              </w:rPr>
              <w:t xml:space="preserve"> veiklos ir kitose susijusiose mokslinėse praktinėse konferencijose. </w:t>
            </w:r>
          </w:p>
        </w:tc>
      </w:tr>
      <w:tr w:rsidR="00EF627F" w:rsidRPr="00EF627F" w14:paraId="73296582" w14:textId="77777777" w:rsidTr="00444D77">
        <w:tc>
          <w:tcPr>
            <w:tcW w:w="9749" w:type="dxa"/>
            <w:shd w:val="clear" w:color="auto" w:fill="auto"/>
          </w:tcPr>
          <w:p w14:paraId="7329654E" w14:textId="77777777" w:rsidR="00EF627F" w:rsidRPr="00EF627F" w:rsidRDefault="00EF627F" w:rsidP="00EF627F">
            <w:pPr>
              <w:spacing w:after="0" w:line="240" w:lineRule="auto"/>
              <w:jc w:val="both"/>
              <w:rPr>
                <w:rFonts w:ascii="Times New Roman" w:eastAsia="Times New Roman" w:hAnsi="Times New Roman" w:cs="Times New Roman"/>
                <w:b/>
                <w:lang w:eastAsia="lt-LT"/>
              </w:rPr>
            </w:pPr>
            <w:r w:rsidRPr="00EF627F">
              <w:rPr>
                <w:rFonts w:ascii="Times New Roman" w:eastAsia="Times New Roman" w:hAnsi="Times New Roman" w:cs="Times New Roman"/>
                <w:b/>
                <w:lang w:eastAsia="lt-LT"/>
              </w:rPr>
              <w:t xml:space="preserve">    8. Preliminarus programos lėšų paskirstymas (tūkst. </w:t>
            </w:r>
            <w:proofErr w:type="spellStart"/>
            <w:r w:rsidRPr="00EF627F">
              <w:rPr>
                <w:rFonts w:ascii="Times New Roman" w:eastAsia="Times New Roman" w:hAnsi="Times New Roman" w:cs="Times New Roman"/>
                <w:b/>
                <w:lang w:eastAsia="lt-LT"/>
              </w:rPr>
              <w:t>Eur</w:t>
            </w:r>
            <w:proofErr w:type="spellEnd"/>
            <w:r w:rsidRPr="00EF627F">
              <w:rPr>
                <w:rFonts w:ascii="Times New Roman" w:eastAsia="Times New Roman" w:hAnsi="Times New Roman" w:cs="Times New Roman"/>
                <w:b/>
                <w:lang w:eastAsia="lt-LT"/>
              </w:rPr>
              <w:t>.):</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97"/>
              <w:gridCol w:w="1123"/>
              <w:gridCol w:w="1123"/>
              <w:gridCol w:w="1123"/>
              <w:gridCol w:w="1123"/>
              <w:gridCol w:w="1123"/>
              <w:gridCol w:w="1203"/>
            </w:tblGrid>
            <w:tr w:rsidR="00EF627F" w:rsidRPr="00EF627F" w14:paraId="73296557" w14:textId="77777777" w:rsidTr="00444D77">
              <w:tc>
                <w:tcPr>
                  <w:tcW w:w="575" w:type="dxa"/>
                  <w:shd w:val="clear" w:color="auto" w:fill="auto"/>
                </w:tcPr>
                <w:p w14:paraId="7329654F" w14:textId="77777777" w:rsidR="00EF627F" w:rsidRPr="00EF627F" w:rsidRDefault="00EF627F" w:rsidP="00EF627F">
                  <w:pPr>
                    <w:spacing w:after="0" w:line="240" w:lineRule="auto"/>
                    <w:contextualSpacing/>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 xml:space="preserve">Eil. Nr. </w:t>
                  </w:r>
                </w:p>
              </w:tc>
              <w:tc>
                <w:tcPr>
                  <w:tcW w:w="2197" w:type="dxa"/>
                  <w:shd w:val="clear" w:color="auto" w:fill="auto"/>
                </w:tcPr>
                <w:p w14:paraId="73296550"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Išlaidų pavadinimas</w:t>
                  </w:r>
                </w:p>
              </w:tc>
              <w:tc>
                <w:tcPr>
                  <w:tcW w:w="1123" w:type="dxa"/>
                  <w:shd w:val="clear" w:color="auto" w:fill="auto"/>
                </w:tcPr>
                <w:p w14:paraId="73296551"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2017 metai</w:t>
                  </w:r>
                </w:p>
              </w:tc>
              <w:tc>
                <w:tcPr>
                  <w:tcW w:w="1123" w:type="dxa"/>
                  <w:shd w:val="clear" w:color="auto" w:fill="auto"/>
                </w:tcPr>
                <w:p w14:paraId="73296552"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2018 metai</w:t>
                  </w:r>
                </w:p>
              </w:tc>
              <w:tc>
                <w:tcPr>
                  <w:tcW w:w="1123" w:type="dxa"/>
                  <w:shd w:val="clear" w:color="auto" w:fill="auto"/>
                </w:tcPr>
                <w:p w14:paraId="73296553"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2019 metai</w:t>
                  </w:r>
                </w:p>
              </w:tc>
              <w:tc>
                <w:tcPr>
                  <w:tcW w:w="1123" w:type="dxa"/>
                  <w:shd w:val="clear" w:color="auto" w:fill="auto"/>
                </w:tcPr>
                <w:p w14:paraId="73296554"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2020 metai</w:t>
                  </w:r>
                </w:p>
              </w:tc>
              <w:tc>
                <w:tcPr>
                  <w:tcW w:w="1123" w:type="dxa"/>
                  <w:shd w:val="clear" w:color="auto" w:fill="auto"/>
                </w:tcPr>
                <w:p w14:paraId="73296555"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2021 metai</w:t>
                  </w:r>
                </w:p>
              </w:tc>
              <w:tc>
                <w:tcPr>
                  <w:tcW w:w="1203" w:type="dxa"/>
                  <w:shd w:val="clear" w:color="auto" w:fill="auto"/>
                </w:tcPr>
                <w:p w14:paraId="73296556"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Visai programai (suma)</w:t>
                  </w:r>
                </w:p>
              </w:tc>
            </w:tr>
            <w:tr w:rsidR="00EF627F" w:rsidRPr="00EF627F" w14:paraId="7329656D" w14:textId="77777777" w:rsidTr="00444D77">
              <w:tc>
                <w:tcPr>
                  <w:tcW w:w="575" w:type="dxa"/>
                  <w:shd w:val="clear" w:color="auto" w:fill="auto"/>
                </w:tcPr>
                <w:p w14:paraId="73296558" w14:textId="77777777" w:rsidR="00EF627F" w:rsidRPr="00EF627F" w:rsidRDefault="00EF627F" w:rsidP="00EF627F">
                  <w:pPr>
                    <w:spacing w:after="0" w:line="240" w:lineRule="auto"/>
                    <w:contextualSpacing/>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1.</w:t>
                  </w:r>
                </w:p>
              </w:tc>
              <w:tc>
                <w:tcPr>
                  <w:tcW w:w="2197" w:type="dxa"/>
                  <w:shd w:val="clear" w:color="auto" w:fill="auto"/>
                </w:tcPr>
                <w:p w14:paraId="73296559" w14:textId="77777777" w:rsidR="00EF627F" w:rsidRPr="00EF627F" w:rsidRDefault="00EF627F" w:rsidP="00EF627F">
                  <w:pPr>
                    <w:spacing w:after="0" w:line="240" w:lineRule="auto"/>
                    <w:contextualSpacing/>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Programai skirti norminiai etatai,</w:t>
                  </w:r>
                </w:p>
                <w:p w14:paraId="7329655A" w14:textId="77777777" w:rsidR="00EF627F" w:rsidRPr="00EF627F" w:rsidRDefault="00EF627F" w:rsidP="00EF627F">
                  <w:pPr>
                    <w:spacing w:after="0" w:line="240" w:lineRule="auto"/>
                    <w:contextualSpacing/>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 xml:space="preserve"> lėšos</w:t>
                  </w:r>
                </w:p>
              </w:tc>
              <w:tc>
                <w:tcPr>
                  <w:tcW w:w="1123" w:type="dxa"/>
                  <w:shd w:val="clear" w:color="auto" w:fill="auto"/>
                </w:tcPr>
                <w:p w14:paraId="7329655B"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p>
                <w:p w14:paraId="7329655C"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6,22</w:t>
                  </w:r>
                </w:p>
                <w:p w14:paraId="7329655D"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59,7</w:t>
                  </w:r>
                </w:p>
              </w:tc>
              <w:tc>
                <w:tcPr>
                  <w:tcW w:w="1123" w:type="dxa"/>
                  <w:shd w:val="clear" w:color="auto" w:fill="auto"/>
                </w:tcPr>
                <w:p w14:paraId="7329655E"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p>
                <w:p w14:paraId="7329655F"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6,22</w:t>
                  </w:r>
                </w:p>
                <w:p w14:paraId="73296560"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59,7</w:t>
                  </w:r>
                </w:p>
              </w:tc>
              <w:tc>
                <w:tcPr>
                  <w:tcW w:w="1123" w:type="dxa"/>
                  <w:shd w:val="clear" w:color="auto" w:fill="auto"/>
                </w:tcPr>
                <w:p w14:paraId="73296561"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p>
                <w:p w14:paraId="73296562"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6,22</w:t>
                  </w:r>
                </w:p>
                <w:p w14:paraId="73296563"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59,7</w:t>
                  </w:r>
                </w:p>
              </w:tc>
              <w:tc>
                <w:tcPr>
                  <w:tcW w:w="1123" w:type="dxa"/>
                  <w:shd w:val="clear" w:color="auto" w:fill="auto"/>
                </w:tcPr>
                <w:p w14:paraId="73296564"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p>
                <w:p w14:paraId="73296565"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6,22</w:t>
                  </w:r>
                </w:p>
                <w:p w14:paraId="73296566"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59,7</w:t>
                  </w:r>
                </w:p>
              </w:tc>
              <w:tc>
                <w:tcPr>
                  <w:tcW w:w="1123" w:type="dxa"/>
                  <w:shd w:val="clear" w:color="auto" w:fill="auto"/>
                </w:tcPr>
                <w:p w14:paraId="73296567"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p>
                <w:p w14:paraId="73296568"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6,22</w:t>
                  </w:r>
                </w:p>
                <w:p w14:paraId="73296569"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59,7</w:t>
                  </w:r>
                </w:p>
              </w:tc>
              <w:tc>
                <w:tcPr>
                  <w:tcW w:w="1203" w:type="dxa"/>
                  <w:shd w:val="clear" w:color="auto" w:fill="auto"/>
                </w:tcPr>
                <w:p w14:paraId="7329656A"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p>
                <w:p w14:paraId="7329656B"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p>
                <w:p w14:paraId="7329656C"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298,5</w:t>
                  </w:r>
                </w:p>
              </w:tc>
            </w:tr>
            <w:tr w:rsidR="00EF627F" w:rsidRPr="00EF627F" w14:paraId="73296577" w14:textId="77777777" w:rsidTr="00444D77">
              <w:tc>
                <w:tcPr>
                  <w:tcW w:w="575" w:type="dxa"/>
                  <w:shd w:val="clear" w:color="auto" w:fill="auto"/>
                </w:tcPr>
                <w:p w14:paraId="7329656E" w14:textId="77777777" w:rsidR="00EF627F" w:rsidRPr="00EF627F" w:rsidRDefault="00EF627F" w:rsidP="00EF627F">
                  <w:pPr>
                    <w:spacing w:after="0" w:line="240" w:lineRule="auto"/>
                    <w:contextualSpacing/>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w:t>
                  </w:r>
                </w:p>
              </w:tc>
              <w:tc>
                <w:tcPr>
                  <w:tcW w:w="2197" w:type="dxa"/>
                  <w:shd w:val="clear" w:color="auto" w:fill="auto"/>
                </w:tcPr>
                <w:p w14:paraId="7329656F" w14:textId="77777777" w:rsidR="00EF627F" w:rsidRPr="00EF627F" w:rsidRDefault="00EF627F" w:rsidP="00EF627F">
                  <w:pPr>
                    <w:spacing w:after="0" w:line="240" w:lineRule="auto"/>
                    <w:contextualSpacing/>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Kitos lėšos planuojamos programai vykdyti (iš kitų, Institutui skirtų Valstybės biudžeto bazinio</w:t>
                  </w:r>
                </w:p>
                <w:p w14:paraId="73296570" w14:textId="77777777" w:rsidR="00EF627F" w:rsidRPr="00EF627F" w:rsidRDefault="00EF627F" w:rsidP="00EF627F">
                  <w:pPr>
                    <w:spacing w:after="0" w:line="240" w:lineRule="auto"/>
                    <w:contextualSpacing/>
                    <w:jc w:val="both"/>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 xml:space="preserve"> finansavimo lėšų)</w:t>
                  </w:r>
                </w:p>
              </w:tc>
              <w:tc>
                <w:tcPr>
                  <w:tcW w:w="1123" w:type="dxa"/>
                  <w:shd w:val="clear" w:color="auto" w:fill="auto"/>
                </w:tcPr>
                <w:p w14:paraId="73296571"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24,1</w:t>
                  </w:r>
                </w:p>
              </w:tc>
              <w:tc>
                <w:tcPr>
                  <w:tcW w:w="1123" w:type="dxa"/>
                  <w:shd w:val="clear" w:color="auto" w:fill="auto"/>
                </w:tcPr>
                <w:p w14:paraId="73296572"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24,1</w:t>
                  </w:r>
                </w:p>
              </w:tc>
              <w:tc>
                <w:tcPr>
                  <w:tcW w:w="1123" w:type="dxa"/>
                  <w:shd w:val="clear" w:color="auto" w:fill="auto"/>
                </w:tcPr>
                <w:p w14:paraId="73296573"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24,1</w:t>
                  </w:r>
                </w:p>
              </w:tc>
              <w:tc>
                <w:tcPr>
                  <w:tcW w:w="1123" w:type="dxa"/>
                  <w:shd w:val="clear" w:color="auto" w:fill="auto"/>
                </w:tcPr>
                <w:p w14:paraId="73296574"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24,1</w:t>
                  </w:r>
                </w:p>
              </w:tc>
              <w:tc>
                <w:tcPr>
                  <w:tcW w:w="1123" w:type="dxa"/>
                  <w:shd w:val="clear" w:color="auto" w:fill="auto"/>
                </w:tcPr>
                <w:p w14:paraId="73296575"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24,1</w:t>
                  </w:r>
                </w:p>
              </w:tc>
              <w:tc>
                <w:tcPr>
                  <w:tcW w:w="1203" w:type="dxa"/>
                  <w:shd w:val="clear" w:color="auto" w:fill="auto"/>
                </w:tcPr>
                <w:p w14:paraId="73296576"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120,5</w:t>
                  </w:r>
                </w:p>
              </w:tc>
            </w:tr>
            <w:tr w:rsidR="00EF627F" w:rsidRPr="00EF627F" w14:paraId="73296580" w14:textId="77777777" w:rsidTr="00444D77">
              <w:tc>
                <w:tcPr>
                  <w:tcW w:w="575" w:type="dxa"/>
                  <w:shd w:val="clear" w:color="auto" w:fill="auto"/>
                </w:tcPr>
                <w:p w14:paraId="73296578" w14:textId="77777777" w:rsidR="00EF627F" w:rsidRPr="00EF627F" w:rsidRDefault="00EF627F" w:rsidP="00EF627F">
                  <w:pPr>
                    <w:spacing w:after="0" w:line="240" w:lineRule="auto"/>
                    <w:contextualSpacing/>
                    <w:jc w:val="both"/>
                    <w:rPr>
                      <w:rFonts w:ascii="Times New Roman" w:eastAsia="Times New Roman" w:hAnsi="Times New Roman" w:cs="Times New Roman"/>
                      <w:lang w:eastAsia="lt-LT"/>
                    </w:rPr>
                  </w:pPr>
                </w:p>
              </w:tc>
              <w:tc>
                <w:tcPr>
                  <w:tcW w:w="2197" w:type="dxa"/>
                  <w:shd w:val="clear" w:color="auto" w:fill="auto"/>
                </w:tcPr>
                <w:p w14:paraId="73296579" w14:textId="77777777" w:rsidR="00EF627F" w:rsidRPr="00EF627F" w:rsidRDefault="00EF627F" w:rsidP="00EF627F">
                  <w:pPr>
                    <w:spacing w:after="0" w:line="240" w:lineRule="auto"/>
                    <w:contextualSpacing/>
                    <w:jc w:val="right"/>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Iš viso:</w:t>
                  </w:r>
                </w:p>
              </w:tc>
              <w:tc>
                <w:tcPr>
                  <w:tcW w:w="1123" w:type="dxa"/>
                  <w:shd w:val="clear" w:color="auto" w:fill="auto"/>
                </w:tcPr>
                <w:p w14:paraId="7329657A"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83,8</w:t>
                  </w:r>
                </w:p>
              </w:tc>
              <w:tc>
                <w:tcPr>
                  <w:tcW w:w="1123" w:type="dxa"/>
                  <w:shd w:val="clear" w:color="auto" w:fill="auto"/>
                </w:tcPr>
                <w:p w14:paraId="7329657B"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83,8</w:t>
                  </w:r>
                </w:p>
              </w:tc>
              <w:tc>
                <w:tcPr>
                  <w:tcW w:w="1123" w:type="dxa"/>
                  <w:shd w:val="clear" w:color="auto" w:fill="auto"/>
                </w:tcPr>
                <w:p w14:paraId="7329657C"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83,8</w:t>
                  </w:r>
                </w:p>
              </w:tc>
              <w:tc>
                <w:tcPr>
                  <w:tcW w:w="1123" w:type="dxa"/>
                  <w:shd w:val="clear" w:color="auto" w:fill="auto"/>
                </w:tcPr>
                <w:p w14:paraId="7329657D"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83,8</w:t>
                  </w:r>
                </w:p>
              </w:tc>
              <w:tc>
                <w:tcPr>
                  <w:tcW w:w="1123" w:type="dxa"/>
                  <w:shd w:val="clear" w:color="auto" w:fill="auto"/>
                </w:tcPr>
                <w:p w14:paraId="7329657E" w14:textId="77777777" w:rsidR="00EF627F" w:rsidRPr="00EF627F" w:rsidRDefault="00EF627F" w:rsidP="00EF627F">
                  <w:pPr>
                    <w:spacing w:after="0" w:line="240" w:lineRule="auto"/>
                    <w:jc w:val="center"/>
                    <w:rPr>
                      <w:rFonts w:ascii="Times New Roman" w:eastAsia="Calibri" w:hAnsi="Times New Roman" w:cs="Times New Roman"/>
                    </w:rPr>
                  </w:pPr>
                  <w:r w:rsidRPr="00EF627F">
                    <w:rPr>
                      <w:rFonts w:ascii="Times New Roman" w:eastAsia="Times New Roman" w:hAnsi="Times New Roman" w:cs="Times New Roman"/>
                      <w:lang w:eastAsia="lt-LT"/>
                    </w:rPr>
                    <w:t>83,8</w:t>
                  </w:r>
                </w:p>
              </w:tc>
              <w:tc>
                <w:tcPr>
                  <w:tcW w:w="1203" w:type="dxa"/>
                  <w:shd w:val="clear" w:color="auto" w:fill="auto"/>
                </w:tcPr>
                <w:p w14:paraId="7329657F" w14:textId="77777777" w:rsidR="00EF627F" w:rsidRPr="00EF627F" w:rsidRDefault="00EF627F" w:rsidP="00EF627F">
                  <w:pPr>
                    <w:spacing w:after="0" w:line="240" w:lineRule="auto"/>
                    <w:contextualSpacing/>
                    <w:jc w:val="center"/>
                    <w:rPr>
                      <w:rFonts w:ascii="Times New Roman" w:eastAsia="Times New Roman" w:hAnsi="Times New Roman" w:cs="Times New Roman"/>
                      <w:lang w:eastAsia="lt-LT"/>
                    </w:rPr>
                  </w:pPr>
                  <w:r w:rsidRPr="00EF627F">
                    <w:rPr>
                      <w:rFonts w:ascii="Times New Roman" w:eastAsia="Times New Roman" w:hAnsi="Times New Roman" w:cs="Times New Roman"/>
                      <w:lang w:eastAsia="lt-LT"/>
                    </w:rPr>
                    <w:t>419,0</w:t>
                  </w:r>
                </w:p>
              </w:tc>
            </w:tr>
          </w:tbl>
          <w:p w14:paraId="73296581" w14:textId="77777777" w:rsidR="00EF627F" w:rsidRPr="00EF627F" w:rsidRDefault="00EF627F" w:rsidP="00EF627F">
            <w:pPr>
              <w:spacing w:after="0" w:line="240" w:lineRule="auto"/>
              <w:ind w:left="720"/>
              <w:contextualSpacing/>
              <w:jc w:val="both"/>
              <w:rPr>
                <w:rFonts w:ascii="Times New Roman" w:eastAsia="Times New Roman" w:hAnsi="Times New Roman" w:cs="Times New Roman"/>
                <w:b/>
                <w:lang w:eastAsia="lt-LT"/>
              </w:rPr>
            </w:pPr>
          </w:p>
        </w:tc>
      </w:tr>
      <w:tr w:rsidR="00EF627F" w:rsidRPr="00EF627F" w14:paraId="73296584" w14:textId="77777777" w:rsidTr="00444D77">
        <w:tc>
          <w:tcPr>
            <w:tcW w:w="9749" w:type="dxa"/>
            <w:shd w:val="clear" w:color="auto" w:fill="auto"/>
          </w:tcPr>
          <w:p w14:paraId="73296583" w14:textId="77777777" w:rsidR="00EF627F" w:rsidRPr="00EF627F" w:rsidRDefault="00EF627F" w:rsidP="00EF627F">
            <w:pPr>
              <w:spacing w:after="0" w:line="240" w:lineRule="auto"/>
              <w:jc w:val="both"/>
              <w:rPr>
                <w:rFonts w:ascii="Times New Roman" w:eastAsia="Times New Roman" w:hAnsi="Times New Roman" w:cs="Times New Roman"/>
                <w:b/>
                <w:sz w:val="24"/>
                <w:szCs w:val="24"/>
                <w:lang w:eastAsia="lt-LT"/>
              </w:rPr>
            </w:pPr>
            <w:r w:rsidRPr="00EF627F">
              <w:rPr>
                <w:rFonts w:ascii="Times New Roman" w:eastAsia="Times New Roman" w:hAnsi="Times New Roman" w:cs="Times New Roman"/>
                <w:b/>
                <w:sz w:val="24"/>
                <w:szCs w:val="24"/>
                <w:lang w:eastAsia="lt-LT"/>
              </w:rPr>
              <w:t xml:space="preserve">    9. Programos trukmė: </w:t>
            </w:r>
            <w:r w:rsidRPr="00EF627F">
              <w:rPr>
                <w:rFonts w:ascii="Times New Roman" w:eastAsia="Times New Roman" w:hAnsi="Times New Roman" w:cs="Times New Roman"/>
                <w:sz w:val="24"/>
                <w:szCs w:val="24"/>
                <w:lang w:eastAsia="lt-LT"/>
              </w:rPr>
              <w:t>2017-2021 metai</w:t>
            </w:r>
          </w:p>
        </w:tc>
      </w:tr>
      <w:tr w:rsidR="00EF627F" w:rsidRPr="00EF627F" w14:paraId="73296589" w14:textId="77777777" w:rsidTr="00444D77">
        <w:tc>
          <w:tcPr>
            <w:tcW w:w="9749" w:type="dxa"/>
            <w:shd w:val="clear" w:color="auto" w:fill="auto"/>
          </w:tcPr>
          <w:p w14:paraId="73296585" w14:textId="77777777" w:rsidR="00EF627F" w:rsidRPr="00EF627F" w:rsidRDefault="00EF627F" w:rsidP="00EF627F">
            <w:pPr>
              <w:spacing w:after="0" w:line="240" w:lineRule="auto"/>
              <w:jc w:val="both"/>
              <w:rPr>
                <w:rFonts w:ascii="Times New Roman" w:eastAsia="Times New Roman" w:hAnsi="Times New Roman" w:cs="Times New Roman"/>
                <w:b/>
                <w:sz w:val="24"/>
                <w:szCs w:val="24"/>
                <w:lang w:eastAsia="lt-LT"/>
              </w:rPr>
            </w:pPr>
            <w:r w:rsidRPr="00EF627F">
              <w:rPr>
                <w:rFonts w:ascii="Times New Roman" w:eastAsia="Times New Roman" w:hAnsi="Times New Roman" w:cs="Times New Roman"/>
                <w:b/>
                <w:sz w:val="24"/>
                <w:szCs w:val="24"/>
                <w:lang w:eastAsia="lt-LT"/>
              </w:rPr>
              <w:t xml:space="preserve">    10. Programos vadovai:</w:t>
            </w:r>
          </w:p>
          <w:p w14:paraId="73296586" w14:textId="77777777" w:rsidR="00EF627F" w:rsidRPr="00EF627F" w:rsidRDefault="00EF627F" w:rsidP="00EF627F">
            <w:pPr>
              <w:spacing w:after="0" w:line="240" w:lineRule="auto"/>
              <w:ind w:left="29"/>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 xml:space="preserve">Prof. dr. (HP) Kęstutis </w:t>
            </w:r>
            <w:proofErr w:type="spellStart"/>
            <w:r w:rsidRPr="00EF627F">
              <w:rPr>
                <w:rFonts w:ascii="Times New Roman" w:eastAsia="Times New Roman" w:hAnsi="Times New Roman" w:cs="Times New Roman"/>
                <w:sz w:val="24"/>
                <w:szCs w:val="24"/>
                <w:lang w:eastAsia="lt-LT"/>
              </w:rPr>
              <w:t>Sužiedėlis</w:t>
            </w:r>
            <w:proofErr w:type="spellEnd"/>
            <w:r w:rsidRPr="00EF627F">
              <w:rPr>
                <w:rFonts w:ascii="Times New Roman" w:eastAsia="Times New Roman" w:hAnsi="Times New Roman" w:cs="Times New Roman"/>
                <w:sz w:val="24"/>
                <w:szCs w:val="24"/>
                <w:lang w:eastAsia="lt-LT"/>
              </w:rPr>
              <w:t xml:space="preserve">, Molekulinės onkologijos laboratorijos vedėjas, vyriausias mokslo darbuotojas, tel.: (8 5) 2190904, </w:t>
            </w:r>
            <w:proofErr w:type="spellStart"/>
            <w:r w:rsidRPr="00EF627F">
              <w:rPr>
                <w:rFonts w:ascii="Times New Roman" w:eastAsia="Times New Roman" w:hAnsi="Times New Roman" w:cs="Times New Roman"/>
                <w:sz w:val="24"/>
                <w:szCs w:val="24"/>
                <w:lang w:eastAsia="lt-LT"/>
              </w:rPr>
              <w:t>el.p</w:t>
            </w:r>
            <w:proofErr w:type="spellEnd"/>
            <w:r w:rsidRPr="00EF627F">
              <w:rPr>
                <w:rFonts w:ascii="Times New Roman" w:eastAsia="Times New Roman" w:hAnsi="Times New Roman" w:cs="Times New Roman"/>
                <w:sz w:val="24"/>
                <w:szCs w:val="24"/>
                <w:lang w:eastAsia="lt-LT"/>
              </w:rPr>
              <w:t xml:space="preserve">.: </w:t>
            </w:r>
            <w:hyperlink r:id="rId17" w:history="1">
              <w:r w:rsidRPr="00EF627F">
                <w:rPr>
                  <w:rFonts w:ascii="Times New Roman" w:eastAsia="Times New Roman" w:hAnsi="Times New Roman" w:cs="Times New Roman"/>
                  <w:color w:val="0563C1"/>
                  <w:sz w:val="24"/>
                  <w:szCs w:val="24"/>
                  <w:u w:val="single"/>
                  <w:lang w:eastAsia="lt-LT"/>
                </w:rPr>
                <w:t>kestutis.suziedelis@nvi.lt</w:t>
              </w:r>
            </w:hyperlink>
          </w:p>
          <w:p w14:paraId="73296587" w14:textId="77777777" w:rsidR="00EF627F" w:rsidRPr="00EF627F" w:rsidRDefault="00EF627F" w:rsidP="00EF627F">
            <w:pPr>
              <w:spacing w:after="0" w:line="240" w:lineRule="auto"/>
              <w:ind w:left="29"/>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 xml:space="preserve">Prof. dr. (HP) Saulius Cicėnas, Krūtinės chirurgijos ir onkologijos skyriaus vedėjas, vyresnysis mokslo darbuotojas, tel.: (8 5) 2786748, </w:t>
            </w:r>
            <w:proofErr w:type="spellStart"/>
            <w:r w:rsidRPr="00EF627F">
              <w:rPr>
                <w:rFonts w:ascii="Times New Roman" w:eastAsia="Times New Roman" w:hAnsi="Times New Roman" w:cs="Times New Roman"/>
                <w:sz w:val="24"/>
                <w:szCs w:val="24"/>
                <w:lang w:eastAsia="lt-LT"/>
              </w:rPr>
              <w:t>el.p</w:t>
            </w:r>
            <w:proofErr w:type="spellEnd"/>
            <w:r w:rsidRPr="00EF627F">
              <w:rPr>
                <w:rFonts w:ascii="Times New Roman" w:eastAsia="Times New Roman" w:hAnsi="Times New Roman" w:cs="Times New Roman"/>
                <w:sz w:val="24"/>
                <w:szCs w:val="24"/>
                <w:lang w:eastAsia="lt-LT"/>
              </w:rPr>
              <w:t xml:space="preserve">.: </w:t>
            </w:r>
            <w:hyperlink r:id="rId18" w:history="1">
              <w:r w:rsidRPr="00EF627F">
                <w:rPr>
                  <w:rFonts w:ascii="Times New Roman" w:eastAsia="Times New Roman" w:hAnsi="Times New Roman" w:cs="Times New Roman"/>
                  <w:color w:val="0563C1"/>
                  <w:sz w:val="24"/>
                  <w:szCs w:val="24"/>
                  <w:u w:val="single"/>
                  <w:lang w:eastAsia="lt-LT"/>
                </w:rPr>
                <w:t>saulius.cicenas@nvi.lt</w:t>
              </w:r>
            </w:hyperlink>
          </w:p>
          <w:p w14:paraId="73296588" w14:textId="77777777" w:rsidR="00EF627F" w:rsidRPr="00EF627F" w:rsidRDefault="00EF627F" w:rsidP="00EF627F">
            <w:pPr>
              <w:spacing w:after="0" w:line="240" w:lineRule="auto"/>
              <w:ind w:left="29"/>
              <w:jc w:val="both"/>
              <w:rPr>
                <w:rFonts w:ascii="Times New Roman" w:eastAsia="Times New Roman" w:hAnsi="Times New Roman" w:cs="Times New Roman"/>
                <w:sz w:val="24"/>
                <w:szCs w:val="24"/>
                <w:lang w:eastAsia="lt-LT"/>
              </w:rPr>
            </w:pPr>
            <w:r w:rsidRPr="00EF627F">
              <w:rPr>
                <w:rFonts w:ascii="Times New Roman" w:eastAsia="Times New Roman" w:hAnsi="Times New Roman" w:cs="Times New Roman"/>
                <w:sz w:val="24"/>
                <w:szCs w:val="24"/>
                <w:lang w:eastAsia="lt-LT"/>
              </w:rPr>
              <w:t xml:space="preserve">Dr. Ernestas Janulionis, Instituto administracijos mokslinis sekretorius, </w:t>
            </w:r>
            <w:proofErr w:type="spellStart"/>
            <w:r w:rsidRPr="00EF627F">
              <w:rPr>
                <w:rFonts w:ascii="Times New Roman" w:eastAsia="Times New Roman" w:hAnsi="Times New Roman" w:cs="Times New Roman"/>
                <w:sz w:val="24"/>
                <w:szCs w:val="24"/>
                <w:lang w:eastAsia="lt-LT"/>
              </w:rPr>
              <w:t>Brachiterapijos</w:t>
            </w:r>
            <w:proofErr w:type="spellEnd"/>
            <w:r w:rsidRPr="00EF627F">
              <w:rPr>
                <w:rFonts w:ascii="Times New Roman" w:eastAsia="Times New Roman" w:hAnsi="Times New Roman" w:cs="Times New Roman"/>
                <w:sz w:val="24"/>
                <w:szCs w:val="24"/>
                <w:lang w:eastAsia="lt-LT"/>
              </w:rPr>
              <w:t xml:space="preserve"> grupės vadovas, tel.: (8 5) 2786781, </w:t>
            </w:r>
            <w:proofErr w:type="spellStart"/>
            <w:r w:rsidRPr="00EF627F">
              <w:rPr>
                <w:rFonts w:ascii="Times New Roman" w:eastAsia="Times New Roman" w:hAnsi="Times New Roman" w:cs="Times New Roman"/>
                <w:sz w:val="24"/>
                <w:szCs w:val="24"/>
                <w:lang w:eastAsia="lt-LT"/>
              </w:rPr>
              <w:t>el.p</w:t>
            </w:r>
            <w:proofErr w:type="spellEnd"/>
            <w:r w:rsidRPr="00EF627F">
              <w:rPr>
                <w:rFonts w:ascii="Times New Roman" w:eastAsia="Times New Roman" w:hAnsi="Times New Roman" w:cs="Times New Roman"/>
                <w:sz w:val="24"/>
                <w:szCs w:val="24"/>
                <w:lang w:eastAsia="lt-LT"/>
              </w:rPr>
              <w:t xml:space="preserve">. </w:t>
            </w:r>
            <w:hyperlink r:id="rId19" w:history="1">
              <w:r w:rsidRPr="00EF627F">
                <w:rPr>
                  <w:rFonts w:ascii="Times New Roman" w:eastAsia="Times New Roman" w:hAnsi="Times New Roman" w:cs="Times New Roman"/>
                  <w:color w:val="0563C1"/>
                  <w:sz w:val="24"/>
                  <w:szCs w:val="24"/>
                  <w:u w:val="single"/>
                  <w:lang w:eastAsia="lt-LT"/>
                </w:rPr>
                <w:t>ernestas.janulionis@nvi.lt</w:t>
              </w:r>
            </w:hyperlink>
          </w:p>
        </w:tc>
      </w:tr>
    </w:tbl>
    <w:p w14:paraId="7329658A" w14:textId="77777777" w:rsidR="00EF627F" w:rsidRPr="00EF627F" w:rsidRDefault="00EF627F" w:rsidP="00EF627F">
      <w:pPr>
        <w:spacing w:after="0" w:line="240" w:lineRule="auto"/>
        <w:ind w:firstLine="567"/>
        <w:jc w:val="both"/>
        <w:rPr>
          <w:rFonts w:ascii="Times New Roman" w:eastAsia="Times New Roman" w:hAnsi="Times New Roman" w:cs="Times New Roman"/>
          <w:sz w:val="24"/>
          <w:szCs w:val="24"/>
          <w:lang w:eastAsia="lt-LT"/>
        </w:rPr>
      </w:pPr>
    </w:p>
    <w:p w14:paraId="7329658B" w14:textId="77777777" w:rsidR="00EF627F" w:rsidRPr="00EF627F" w:rsidRDefault="00EF627F" w:rsidP="00EF627F">
      <w:pPr>
        <w:tabs>
          <w:tab w:val="left" w:pos="1134"/>
        </w:tabs>
        <w:spacing w:after="0" w:line="240" w:lineRule="auto"/>
        <w:ind w:firstLine="851"/>
        <w:jc w:val="center"/>
        <w:rPr>
          <w:rFonts w:ascii="Times New Roman" w:eastAsia="Calibri" w:hAnsi="Times New Roman" w:cs="Times New Roman"/>
          <w:sz w:val="24"/>
          <w:szCs w:val="24"/>
        </w:rPr>
      </w:pPr>
      <w:r w:rsidRPr="00EF627F">
        <w:rPr>
          <w:rFonts w:ascii="Times New Roman" w:eastAsia="Calibri" w:hAnsi="Times New Roman" w:cs="Times New Roman"/>
          <w:sz w:val="24"/>
          <w:szCs w:val="24"/>
        </w:rPr>
        <w:t>____________________</w:t>
      </w:r>
    </w:p>
    <w:p w14:paraId="7329658C" w14:textId="77777777" w:rsidR="00653CE8" w:rsidRPr="005A17C2" w:rsidRDefault="00653CE8" w:rsidP="0015377B">
      <w:pPr>
        <w:tabs>
          <w:tab w:val="left" w:pos="1134"/>
        </w:tabs>
        <w:spacing w:after="0" w:line="240" w:lineRule="auto"/>
        <w:ind w:firstLine="851"/>
        <w:jc w:val="center"/>
        <w:rPr>
          <w:rFonts w:ascii="Times New Roman" w:eastAsia="Times New Roman" w:hAnsi="Times New Roman" w:cs="Times New Roman"/>
          <w:sz w:val="24"/>
          <w:szCs w:val="24"/>
          <w:lang w:eastAsia="lt-LT"/>
        </w:rPr>
      </w:pPr>
    </w:p>
    <w:sectPr w:rsidR="00653CE8" w:rsidRPr="005A17C2" w:rsidSect="00EF627F">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9658F" w14:textId="77777777" w:rsidR="00A42019" w:rsidRDefault="00A42019" w:rsidP="00885B6C">
      <w:pPr>
        <w:spacing w:after="0" w:line="240" w:lineRule="auto"/>
      </w:pPr>
      <w:r>
        <w:separator/>
      </w:r>
    </w:p>
  </w:endnote>
  <w:endnote w:type="continuationSeparator" w:id="0">
    <w:p w14:paraId="73296590" w14:textId="77777777" w:rsidR="00A42019" w:rsidRDefault="00A42019" w:rsidP="0088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6598" w14:textId="77777777" w:rsidR="000C1877" w:rsidRDefault="003F640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6599" w14:textId="77777777" w:rsidR="000C1877" w:rsidRDefault="003F640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659B" w14:textId="77777777" w:rsidR="000C1877" w:rsidRDefault="003F64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658D" w14:textId="77777777" w:rsidR="00A42019" w:rsidRDefault="00A42019" w:rsidP="00885B6C">
      <w:pPr>
        <w:spacing w:after="0" w:line="240" w:lineRule="auto"/>
      </w:pPr>
      <w:r>
        <w:separator/>
      </w:r>
    </w:p>
  </w:footnote>
  <w:footnote w:type="continuationSeparator" w:id="0">
    <w:p w14:paraId="7329658E" w14:textId="77777777" w:rsidR="00A42019" w:rsidRDefault="00A42019" w:rsidP="00885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89439"/>
      <w:docPartObj>
        <w:docPartGallery w:val="Page Numbers (Top of Page)"/>
        <w:docPartUnique/>
      </w:docPartObj>
    </w:sdtPr>
    <w:sdtEndPr>
      <w:rPr>
        <w:rFonts w:ascii="Times New Roman" w:hAnsi="Times New Roman" w:cs="Times New Roman"/>
        <w:sz w:val="24"/>
        <w:szCs w:val="24"/>
      </w:rPr>
    </w:sdtEndPr>
    <w:sdtContent>
      <w:p w14:paraId="73296591" w14:textId="77777777" w:rsidR="00885B6C" w:rsidRPr="00885B6C" w:rsidRDefault="00885B6C">
        <w:pPr>
          <w:pStyle w:val="Antrats"/>
          <w:jc w:val="center"/>
          <w:rPr>
            <w:rFonts w:ascii="Times New Roman" w:hAnsi="Times New Roman" w:cs="Times New Roman"/>
            <w:sz w:val="24"/>
            <w:szCs w:val="24"/>
          </w:rPr>
        </w:pPr>
        <w:r w:rsidRPr="00885B6C">
          <w:rPr>
            <w:rFonts w:ascii="Times New Roman" w:hAnsi="Times New Roman" w:cs="Times New Roman"/>
            <w:sz w:val="24"/>
            <w:szCs w:val="24"/>
          </w:rPr>
          <w:fldChar w:fldCharType="begin"/>
        </w:r>
        <w:r w:rsidRPr="00885B6C">
          <w:rPr>
            <w:rFonts w:ascii="Times New Roman" w:hAnsi="Times New Roman" w:cs="Times New Roman"/>
            <w:sz w:val="24"/>
            <w:szCs w:val="24"/>
          </w:rPr>
          <w:instrText>PAGE   \* MERGEFORMAT</w:instrText>
        </w:r>
        <w:r w:rsidRPr="00885B6C">
          <w:rPr>
            <w:rFonts w:ascii="Times New Roman" w:hAnsi="Times New Roman" w:cs="Times New Roman"/>
            <w:sz w:val="24"/>
            <w:szCs w:val="24"/>
          </w:rPr>
          <w:fldChar w:fldCharType="separate"/>
        </w:r>
        <w:r w:rsidR="003F6404">
          <w:rPr>
            <w:rFonts w:ascii="Times New Roman" w:hAnsi="Times New Roman" w:cs="Times New Roman"/>
            <w:noProof/>
            <w:sz w:val="24"/>
            <w:szCs w:val="24"/>
          </w:rPr>
          <w:t>3</w:t>
        </w:r>
        <w:r w:rsidRPr="00885B6C">
          <w:rPr>
            <w:rFonts w:ascii="Times New Roman" w:hAnsi="Times New Roman" w:cs="Times New Roman"/>
            <w:sz w:val="24"/>
            <w:szCs w:val="24"/>
          </w:rPr>
          <w:fldChar w:fldCharType="end"/>
        </w:r>
      </w:p>
    </w:sdtContent>
  </w:sdt>
  <w:p w14:paraId="73296592" w14:textId="77777777" w:rsidR="00885B6C" w:rsidRDefault="00885B6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19518"/>
      <w:docPartObj>
        <w:docPartGallery w:val="Page Numbers (Top of Page)"/>
        <w:docPartUnique/>
      </w:docPartObj>
    </w:sdtPr>
    <w:sdtEndPr>
      <w:rPr>
        <w:rFonts w:ascii="Times New Roman" w:hAnsi="Times New Roman"/>
        <w:sz w:val="24"/>
        <w:szCs w:val="24"/>
      </w:rPr>
    </w:sdtEndPr>
    <w:sdtContent>
      <w:p w14:paraId="73296593" w14:textId="77777777" w:rsidR="00AC2157" w:rsidRPr="00AC2157" w:rsidRDefault="00B07636">
        <w:pPr>
          <w:pStyle w:val="Antrats"/>
          <w:jc w:val="center"/>
          <w:rPr>
            <w:rFonts w:ascii="Times New Roman" w:hAnsi="Times New Roman"/>
            <w:sz w:val="24"/>
            <w:szCs w:val="24"/>
          </w:rPr>
        </w:pPr>
        <w:r w:rsidRPr="00AC2157">
          <w:rPr>
            <w:rFonts w:ascii="Times New Roman" w:hAnsi="Times New Roman"/>
            <w:sz w:val="24"/>
            <w:szCs w:val="24"/>
          </w:rPr>
          <w:fldChar w:fldCharType="begin"/>
        </w:r>
        <w:r w:rsidRPr="00AC2157">
          <w:rPr>
            <w:rFonts w:ascii="Times New Roman" w:hAnsi="Times New Roman"/>
            <w:sz w:val="24"/>
            <w:szCs w:val="24"/>
          </w:rPr>
          <w:instrText>PAGE   \* MERGEFORMAT</w:instrText>
        </w:r>
        <w:r w:rsidRPr="00AC2157">
          <w:rPr>
            <w:rFonts w:ascii="Times New Roman" w:hAnsi="Times New Roman"/>
            <w:sz w:val="24"/>
            <w:szCs w:val="24"/>
          </w:rPr>
          <w:fldChar w:fldCharType="separate"/>
        </w:r>
        <w:r w:rsidR="003F6404">
          <w:rPr>
            <w:rFonts w:ascii="Times New Roman" w:hAnsi="Times New Roman"/>
            <w:noProof/>
            <w:sz w:val="24"/>
            <w:szCs w:val="24"/>
          </w:rPr>
          <w:t>4</w:t>
        </w:r>
        <w:r w:rsidRPr="00AC2157">
          <w:rPr>
            <w:rFonts w:ascii="Times New Roman" w:hAnsi="Times New Roman"/>
            <w:sz w:val="24"/>
            <w:szCs w:val="24"/>
          </w:rPr>
          <w:fldChar w:fldCharType="end"/>
        </w:r>
      </w:p>
    </w:sdtContent>
  </w:sdt>
  <w:p w14:paraId="73296594" w14:textId="77777777" w:rsidR="00AC2157" w:rsidRDefault="003F64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6595" w14:textId="77777777" w:rsidR="000C1877" w:rsidRDefault="003F6404">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03122"/>
      <w:docPartObj>
        <w:docPartGallery w:val="Page Numbers (Top of Page)"/>
        <w:docPartUnique/>
      </w:docPartObj>
    </w:sdtPr>
    <w:sdtEndPr>
      <w:rPr>
        <w:rFonts w:ascii="Times New Roman" w:hAnsi="Times New Roman"/>
        <w:sz w:val="24"/>
        <w:szCs w:val="24"/>
      </w:rPr>
    </w:sdtEndPr>
    <w:sdtContent>
      <w:p w14:paraId="73296596" w14:textId="77777777" w:rsidR="00C56034" w:rsidRPr="00C56034" w:rsidRDefault="00B07636">
        <w:pPr>
          <w:pStyle w:val="Antrats"/>
          <w:jc w:val="center"/>
          <w:rPr>
            <w:rFonts w:ascii="Times New Roman" w:hAnsi="Times New Roman"/>
            <w:sz w:val="24"/>
            <w:szCs w:val="24"/>
          </w:rPr>
        </w:pPr>
        <w:r w:rsidRPr="00C56034">
          <w:rPr>
            <w:rFonts w:ascii="Times New Roman" w:hAnsi="Times New Roman"/>
            <w:sz w:val="24"/>
            <w:szCs w:val="24"/>
          </w:rPr>
          <w:fldChar w:fldCharType="begin"/>
        </w:r>
        <w:r w:rsidRPr="00C56034">
          <w:rPr>
            <w:rFonts w:ascii="Times New Roman" w:hAnsi="Times New Roman"/>
            <w:sz w:val="24"/>
            <w:szCs w:val="24"/>
          </w:rPr>
          <w:instrText>PAGE   \* MERGEFORMAT</w:instrText>
        </w:r>
        <w:r w:rsidRPr="00C56034">
          <w:rPr>
            <w:rFonts w:ascii="Times New Roman" w:hAnsi="Times New Roman"/>
            <w:sz w:val="24"/>
            <w:szCs w:val="24"/>
          </w:rPr>
          <w:fldChar w:fldCharType="separate"/>
        </w:r>
        <w:r w:rsidR="003F6404">
          <w:rPr>
            <w:rFonts w:ascii="Times New Roman" w:hAnsi="Times New Roman"/>
            <w:noProof/>
            <w:sz w:val="24"/>
            <w:szCs w:val="24"/>
          </w:rPr>
          <w:t>4</w:t>
        </w:r>
        <w:r w:rsidRPr="00C56034">
          <w:rPr>
            <w:rFonts w:ascii="Times New Roman" w:hAnsi="Times New Roman"/>
            <w:sz w:val="24"/>
            <w:szCs w:val="24"/>
          </w:rPr>
          <w:fldChar w:fldCharType="end"/>
        </w:r>
      </w:p>
    </w:sdtContent>
  </w:sdt>
  <w:p w14:paraId="73296597" w14:textId="77777777" w:rsidR="00C56034" w:rsidRDefault="003F6404">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659A" w14:textId="77777777" w:rsidR="000C1877" w:rsidRDefault="003F64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FCE"/>
    <w:multiLevelType w:val="hybridMultilevel"/>
    <w:tmpl w:val="422E6A88"/>
    <w:lvl w:ilvl="0" w:tplc="9DB83810">
      <w:start w:val="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9A775B2"/>
    <w:multiLevelType w:val="hybridMultilevel"/>
    <w:tmpl w:val="06A6751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27C1A98"/>
    <w:multiLevelType w:val="hybridMultilevel"/>
    <w:tmpl w:val="2A626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E651213"/>
    <w:multiLevelType w:val="hybridMultilevel"/>
    <w:tmpl w:val="CB0E8662"/>
    <w:lvl w:ilvl="0" w:tplc="D3C00428">
      <w:start w:val="1"/>
      <w:numFmt w:val="decimal"/>
      <w:lvlText w:val="%1."/>
      <w:lvlJc w:val="left"/>
      <w:pPr>
        <w:ind w:left="389" w:hanging="360"/>
      </w:pPr>
      <w:rPr>
        <w:rFonts w:hint="default"/>
        <w:b/>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C6"/>
    <w:rsid w:val="00000998"/>
    <w:rsid w:val="0002412C"/>
    <w:rsid w:val="00076725"/>
    <w:rsid w:val="000810ED"/>
    <w:rsid w:val="00094D6C"/>
    <w:rsid w:val="000B19A8"/>
    <w:rsid w:val="000B6A46"/>
    <w:rsid w:val="0015377B"/>
    <w:rsid w:val="00153FCF"/>
    <w:rsid w:val="00171334"/>
    <w:rsid w:val="00180500"/>
    <w:rsid w:val="002156F0"/>
    <w:rsid w:val="00295A36"/>
    <w:rsid w:val="002F13B8"/>
    <w:rsid w:val="002F46AA"/>
    <w:rsid w:val="00334470"/>
    <w:rsid w:val="00352006"/>
    <w:rsid w:val="003A744B"/>
    <w:rsid w:val="003F35A7"/>
    <w:rsid w:val="003F6404"/>
    <w:rsid w:val="004A15C5"/>
    <w:rsid w:val="005032C3"/>
    <w:rsid w:val="00516910"/>
    <w:rsid w:val="00564A86"/>
    <w:rsid w:val="005711F8"/>
    <w:rsid w:val="00592F73"/>
    <w:rsid w:val="005A17C2"/>
    <w:rsid w:val="005B077B"/>
    <w:rsid w:val="005C1180"/>
    <w:rsid w:val="005C222C"/>
    <w:rsid w:val="00653CE8"/>
    <w:rsid w:val="006F3B80"/>
    <w:rsid w:val="00701FD5"/>
    <w:rsid w:val="00703573"/>
    <w:rsid w:val="0070443A"/>
    <w:rsid w:val="007058E0"/>
    <w:rsid w:val="008106BA"/>
    <w:rsid w:val="008379F8"/>
    <w:rsid w:val="00861B98"/>
    <w:rsid w:val="00885B6C"/>
    <w:rsid w:val="008C6596"/>
    <w:rsid w:val="008D528F"/>
    <w:rsid w:val="009C1309"/>
    <w:rsid w:val="009D4F7B"/>
    <w:rsid w:val="00A34792"/>
    <w:rsid w:val="00A355E5"/>
    <w:rsid w:val="00A42019"/>
    <w:rsid w:val="00A84855"/>
    <w:rsid w:val="00A9672E"/>
    <w:rsid w:val="00AE3A2A"/>
    <w:rsid w:val="00B037C6"/>
    <w:rsid w:val="00B07636"/>
    <w:rsid w:val="00B5030E"/>
    <w:rsid w:val="00B63D6F"/>
    <w:rsid w:val="00BD2D59"/>
    <w:rsid w:val="00C4696A"/>
    <w:rsid w:val="00C64484"/>
    <w:rsid w:val="00CC6EE8"/>
    <w:rsid w:val="00CD16FC"/>
    <w:rsid w:val="00D45D26"/>
    <w:rsid w:val="00D74E34"/>
    <w:rsid w:val="00D91333"/>
    <w:rsid w:val="00DA3BC5"/>
    <w:rsid w:val="00DE0CF1"/>
    <w:rsid w:val="00DF5174"/>
    <w:rsid w:val="00E0373C"/>
    <w:rsid w:val="00E4652B"/>
    <w:rsid w:val="00E62240"/>
    <w:rsid w:val="00EC23A9"/>
    <w:rsid w:val="00ED1E47"/>
    <w:rsid w:val="00EF627F"/>
    <w:rsid w:val="00F271A5"/>
    <w:rsid w:val="00F55385"/>
    <w:rsid w:val="00F63ABC"/>
    <w:rsid w:val="00FB24E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37C6"/>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0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B037C6"/>
    <w:pPr>
      <w:ind w:left="720"/>
      <w:contextualSpacing/>
    </w:pPr>
  </w:style>
  <w:style w:type="character" w:styleId="Hipersaitas">
    <w:name w:val="Hyperlink"/>
    <w:uiPriority w:val="99"/>
    <w:unhideWhenUsed/>
    <w:rsid w:val="00DA3BC5"/>
    <w:rPr>
      <w:color w:val="0563C1"/>
      <w:u w:val="single"/>
    </w:rPr>
  </w:style>
  <w:style w:type="paragraph" w:styleId="Antrats">
    <w:name w:val="header"/>
    <w:basedOn w:val="prastasis"/>
    <w:link w:val="AntratsDiagrama"/>
    <w:uiPriority w:val="99"/>
    <w:unhideWhenUsed/>
    <w:rsid w:val="00885B6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85B6C"/>
  </w:style>
  <w:style w:type="paragraph" w:styleId="Porat">
    <w:name w:val="footer"/>
    <w:basedOn w:val="prastasis"/>
    <w:link w:val="PoratDiagrama"/>
    <w:uiPriority w:val="99"/>
    <w:unhideWhenUsed/>
    <w:rsid w:val="00885B6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85B6C"/>
  </w:style>
  <w:style w:type="paragraph" w:styleId="Debesliotekstas">
    <w:name w:val="Balloon Text"/>
    <w:basedOn w:val="prastasis"/>
    <w:link w:val="DebesliotekstasDiagrama"/>
    <w:uiPriority w:val="99"/>
    <w:semiHidden/>
    <w:unhideWhenUsed/>
    <w:rsid w:val="00885B6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5B6C"/>
    <w:rPr>
      <w:rFonts w:ascii="Segoe UI" w:hAnsi="Segoe UI" w:cs="Segoe UI"/>
      <w:sz w:val="18"/>
      <w:szCs w:val="18"/>
    </w:rPr>
  </w:style>
  <w:style w:type="paragraph" w:styleId="Betarp">
    <w:name w:val="No Spacing"/>
    <w:uiPriority w:val="1"/>
    <w:qFormat/>
    <w:rsid w:val="00B5030E"/>
    <w:pPr>
      <w:spacing w:after="0" w:line="240" w:lineRule="auto"/>
    </w:pPr>
    <w:rPr>
      <w:rFonts w:ascii="Calibri" w:eastAsia="Times New Roman" w:hAnsi="Calibri" w:cs="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37C6"/>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0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B037C6"/>
    <w:pPr>
      <w:ind w:left="720"/>
      <w:contextualSpacing/>
    </w:pPr>
  </w:style>
  <w:style w:type="character" w:styleId="Hipersaitas">
    <w:name w:val="Hyperlink"/>
    <w:uiPriority w:val="99"/>
    <w:unhideWhenUsed/>
    <w:rsid w:val="00DA3BC5"/>
    <w:rPr>
      <w:color w:val="0563C1"/>
      <w:u w:val="single"/>
    </w:rPr>
  </w:style>
  <w:style w:type="paragraph" w:styleId="Antrats">
    <w:name w:val="header"/>
    <w:basedOn w:val="prastasis"/>
    <w:link w:val="AntratsDiagrama"/>
    <w:uiPriority w:val="99"/>
    <w:unhideWhenUsed/>
    <w:rsid w:val="00885B6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85B6C"/>
  </w:style>
  <w:style w:type="paragraph" w:styleId="Porat">
    <w:name w:val="footer"/>
    <w:basedOn w:val="prastasis"/>
    <w:link w:val="PoratDiagrama"/>
    <w:uiPriority w:val="99"/>
    <w:unhideWhenUsed/>
    <w:rsid w:val="00885B6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85B6C"/>
  </w:style>
  <w:style w:type="paragraph" w:styleId="Debesliotekstas">
    <w:name w:val="Balloon Text"/>
    <w:basedOn w:val="prastasis"/>
    <w:link w:val="DebesliotekstasDiagrama"/>
    <w:uiPriority w:val="99"/>
    <w:semiHidden/>
    <w:unhideWhenUsed/>
    <w:rsid w:val="00885B6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5B6C"/>
    <w:rPr>
      <w:rFonts w:ascii="Segoe UI" w:hAnsi="Segoe UI" w:cs="Segoe UI"/>
      <w:sz w:val="18"/>
      <w:szCs w:val="18"/>
    </w:rPr>
  </w:style>
  <w:style w:type="paragraph" w:styleId="Betarp">
    <w:name w:val="No Spacing"/>
    <w:uiPriority w:val="1"/>
    <w:qFormat/>
    <w:rsid w:val="00B5030E"/>
    <w:pPr>
      <w:spacing w:after="0" w:line="240" w:lineRule="auto"/>
    </w:pPr>
    <w:rPr>
      <w:rFonts w:ascii="Calibri" w:eastAsia="Times New Roman"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5398">
      <w:bodyDiv w:val="1"/>
      <w:marLeft w:val="0"/>
      <w:marRight w:val="0"/>
      <w:marTop w:val="0"/>
      <w:marBottom w:val="0"/>
      <w:divBdr>
        <w:top w:val="none" w:sz="0" w:space="0" w:color="auto"/>
        <w:left w:val="none" w:sz="0" w:space="0" w:color="auto"/>
        <w:bottom w:val="none" w:sz="0" w:space="0" w:color="auto"/>
        <w:right w:val="none" w:sz="0" w:space="0" w:color="auto"/>
      </w:divBdr>
    </w:div>
    <w:div w:id="269557197">
      <w:bodyDiv w:val="1"/>
      <w:marLeft w:val="0"/>
      <w:marRight w:val="0"/>
      <w:marTop w:val="0"/>
      <w:marBottom w:val="0"/>
      <w:divBdr>
        <w:top w:val="none" w:sz="0" w:space="0" w:color="auto"/>
        <w:left w:val="none" w:sz="0" w:space="0" w:color="auto"/>
        <w:bottom w:val="none" w:sz="0" w:space="0" w:color="auto"/>
        <w:right w:val="none" w:sz="0" w:space="0" w:color="auto"/>
      </w:divBdr>
    </w:div>
    <w:div w:id="339625035">
      <w:bodyDiv w:val="1"/>
      <w:marLeft w:val="0"/>
      <w:marRight w:val="0"/>
      <w:marTop w:val="0"/>
      <w:marBottom w:val="0"/>
      <w:divBdr>
        <w:top w:val="none" w:sz="0" w:space="0" w:color="auto"/>
        <w:left w:val="none" w:sz="0" w:space="0" w:color="auto"/>
        <w:bottom w:val="none" w:sz="0" w:space="0" w:color="auto"/>
        <w:right w:val="none" w:sz="0" w:space="0" w:color="auto"/>
      </w:divBdr>
    </w:div>
    <w:div w:id="666980296">
      <w:bodyDiv w:val="1"/>
      <w:marLeft w:val="0"/>
      <w:marRight w:val="0"/>
      <w:marTop w:val="0"/>
      <w:marBottom w:val="0"/>
      <w:divBdr>
        <w:top w:val="none" w:sz="0" w:space="0" w:color="auto"/>
        <w:left w:val="none" w:sz="0" w:space="0" w:color="auto"/>
        <w:bottom w:val="none" w:sz="0" w:space="0" w:color="auto"/>
        <w:right w:val="none" w:sz="0" w:space="0" w:color="auto"/>
      </w:divBdr>
    </w:div>
    <w:div w:id="12167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aulius.cicenas@nvi.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konstantinas.valuckas@nvi.lt" TargetMode="External"/><Relationship Id="rId17" Type="http://schemas.openxmlformats.org/officeDocument/2006/relationships/hyperlink" Target="mailto:kestutis.suziedelis@nvi.l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iedre.smailyte@nvi.lt"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mailto:simona.letautiene@nvi.l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rnestas.janulionis@nvi.l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ricardas.rotomskis@nvi.l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384B10-238C-4B69-B115-6412F60ECCFB}">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A32318B6-531A-4173-B004-93B190A9EA5A}">
  <ds:schemaRefs>
    <ds:schemaRef ds:uri="http://schemas.microsoft.com/sharepoint/v3/contenttype/forms"/>
  </ds:schemaRefs>
</ds:datastoreItem>
</file>

<file path=customXml/itemProps3.xml><?xml version="1.0" encoding="utf-8"?>
<ds:datastoreItem xmlns:ds="http://schemas.openxmlformats.org/officeDocument/2006/customXml" ds:itemID="{05663FFC-EFE6-4080-B3A1-05FBB2AFE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23650</Words>
  <Characters>13482</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NVI 1 -3.docx</dc:title>
  <dc:creator>Sonata</dc:creator>
  <cp:lastModifiedBy>Seimas</cp:lastModifiedBy>
  <cp:revision>5</cp:revision>
  <cp:lastPrinted>2016-11-21T10:50:00Z</cp:lastPrinted>
  <dcterms:created xsi:type="dcterms:W3CDTF">2017-04-20T11:59:00Z</dcterms:created>
  <dcterms:modified xsi:type="dcterms:W3CDTF">2017-05-02T12:08:00Z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