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Look w:val="00A0" w:firstRow="1" w:lastRow="0" w:firstColumn="1" w:lastColumn="0" w:noHBand="0" w:noVBand="0"/>
      </w:tblPr>
      <w:tblGrid>
        <w:gridCol w:w="4858"/>
        <w:gridCol w:w="362"/>
        <w:gridCol w:w="4458"/>
      </w:tblGrid>
      <w:tr w:rsidR="00330AF8" w:rsidTr="000651C3">
        <w:trPr>
          <w:cantSplit/>
          <w:trHeight w:val="896"/>
        </w:trPr>
        <w:tc>
          <w:tcPr>
            <w:tcW w:w="4858" w:type="dxa"/>
          </w:tcPr>
          <w:p w:rsidR="00330AF8" w:rsidRDefault="00330AF8" w:rsidP="000651C3">
            <w:pPr>
              <w:jc w:val="right"/>
            </w:pPr>
          </w:p>
        </w:tc>
        <w:tc>
          <w:tcPr>
            <w:tcW w:w="362" w:type="dxa"/>
          </w:tcPr>
          <w:p w:rsidR="00330AF8" w:rsidRDefault="00330AF8" w:rsidP="000651C3">
            <w:pPr>
              <w:tabs>
                <w:tab w:val="right" w:pos="2671"/>
              </w:tabs>
              <w:rPr>
                <w:b/>
                <w:bCs/>
              </w:rPr>
            </w:pPr>
          </w:p>
        </w:tc>
        <w:tc>
          <w:tcPr>
            <w:tcW w:w="4458" w:type="dxa"/>
          </w:tcPr>
          <w:p w:rsidR="00330AF8" w:rsidRDefault="00330AF8" w:rsidP="000651C3">
            <w:pPr>
              <w:tabs>
                <w:tab w:val="right" w:pos="2671"/>
              </w:tabs>
            </w:pPr>
            <w:r>
              <w:t>Priverstinio poveikio priemonių taikymo taisyklių</w:t>
            </w:r>
          </w:p>
          <w:p w:rsidR="00330AF8" w:rsidRDefault="00330AF8" w:rsidP="000651C3">
            <w:pPr>
              <w:tabs>
                <w:tab w:val="right" w:pos="2671"/>
              </w:tabs>
            </w:pPr>
            <w:r>
              <w:t>6 priedas</w:t>
            </w:r>
          </w:p>
          <w:p w:rsidR="00330AF8" w:rsidRDefault="00330AF8" w:rsidP="000651C3">
            <w:pPr>
              <w:tabs>
                <w:tab w:val="right" w:pos="2671"/>
              </w:tabs>
            </w:pPr>
          </w:p>
        </w:tc>
      </w:tr>
      <w:tr w:rsidR="00330AF8" w:rsidTr="000651C3">
        <w:trPr>
          <w:cantSplit/>
          <w:trHeight w:val="243"/>
        </w:trPr>
        <w:tc>
          <w:tcPr>
            <w:tcW w:w="9678" w:type="dxa"/>
            <w:gridSpan w:val="3"/>
          </w:tcPr>
          <w:p w:rsidR="00330AF8" w:rsidRDefault="00330AF8" w:rsidP="000651C3">
            <w:pPr>
              <w:tabs>
                <w:tab w:val="right" w:pos="2671"/>
              </w:tabs>
              <w:jc w:val="center"/>
              <w:rPr>
                <w:b/>
                <w:bCs/>
              </w:rPr>
            </w:pPr>
            <w:r w:rsidRPr="009F079E">
              <w:rPr>
                <w:b/>
                <w:bCs/>
              </w:rPr>
              <w:t xml:space="preserve">(Antstoliui, </w:t>
            </w:r>
            <w:r w:rsidRPr="009F079E">
              <w:rPr>
                <w:b/>
                <w:color w:val="000000"/>
              </w:rPr>
              <w:t xml:space="preserve">skolininko darbdaviui, pensijos, stipendijos ar pašalpos mokėtojui, </w:t>
            </w:r>
            <w:r w:rsidRPr="009F079E">
              <w:rPr>
                <w:b/>
              </w:rPr>
              <w:t xml:space="preserve">kitos ES valstybės narės, EEE valstybės ar Šveicarijos Konfederacijos </w:t>
            </w:r>
            <w:r w:rsidRPr="009F079E">
              <w:rPr>
                <w:b/>
                <w:bCs/>
              </w:rPr>
              <w:t>kompetentingai įstaigai perduodamo sprendimo dėl skolos išieškojimo priverstine tvarka, kai individualios įmonės (ūkinės bendrijos) ir (ar) individualios įmonės savininko (ūkinės bendrijos tikrojo (-</w:t>
            </w:r>
            <w:proofErr w:type="spellStart"/>
            <w:r w:rsidRPr="009F079E">
              <w:rPr>
                <w:b/>
                <w:bCs/>
              </w:rPr>
              <w:t>ųjų</w:t>
            </w:r>
            <w:proofErr w:type="spellEnd"/>
            <w:r w:rsidRPr="009F079E">
              <w:rPr>
                <w:b/>
                <w:bCs/>
              </w:rPr>
              <w:t>) nario (-</w:t>
            </w:r>
            <w:proofErr w:type="spellStart"/>
            <w:r w:rsidRPr="009F079E">
              <w:rPr>
                <w:b/>
                <w:bCs/>
              </w:rPr>
              <w:t>ių</w:t>
            </w:r>
            <w:proofErr w:type="spellEnd"/>
            <w:r w:rsidRPr="009F079E">
              <w:rPr>
                <w:b/>
                <w:bCs/>
              </w:rPr>
              <w:t xml:space="preserve">) </w:t>
            </w:r>
            <w:r w:rsidRPr="009F079E">
              <w:rPr>
                <w:b/>
              </w:rPr>
              <w:t>atžvilgiu</w:t>
            </w:r>
            <w:r w:rsidRPr="009F079E">
              <w:rPr>
                <w:b/>
                <w:bCs/>
              </w:rPr>
              <w:t xml:space="preserve"> priimtas ir </w:t>
            </w:r>
            <w:r w:rsidRPr="009F079E">
              <w:rPr>
                <w:b/>
              </w:rPr>
              <w:t xml:space="preserve">nebaigtas vykdyti </w:t>
            </w:r>
            <w:r w:rsidRPr="009F079E">
              <w:rPr>
                <w:b/>
                <w:bCs/>
              </w:rPr>
              <w:t>daugiau negu vienas</w:t>
            </w:r>
            <w:r w:rsidRPr="009F079E">
              <w:rPr>
                <w:b/>
              </w:rPr>
              <w:t xml:space="preserve"> sprendimas dėl skolos išieškojimo priverstine tvarka,</w:t>
            </w:r>
            <w:r w:rsidRPr="009F079E">
              <w:rPr>
                <w:b/>
                <w:bCs/>
              </w:rPr>
              <w:t xml:space="preserve">  formos pavyzdys)</w:t>
            </w:r>
          </w:p>
          <w:p w:rsidR="00330AF8" w:rsidRDefault="00330AF8" w:rsidP="000651C3">
            <w:pPr>
              <w:tabs>
                <w:tab w:val="right" w:pos="2671"/>
              </w:tabs>
              <w:jc w:val="center"/>
              <w:rPr>
                <w:b/>
                <w:bCs/>
              </w:rPr>
            </w:pPr>
          </w:p>
        </w:tc>
      </w:tr>
      <w:tr w:rsidR="00330AF8" w:rsidTr="000651C3">
        <w:trPr>
          <w:cantSplit/>
          <w:trHeight w:val="896"/>
        </w:trPr>
        <w:tc>
          <w:tcPr>
            <w:tcW w:w="9678" w:type="dxa"/>
            <w:gridSpan w:val="3"/>
          </w:tcPr>
          <w:p w:rsidR="00330AF8" w:rsidRDefault="00330AF8" w:rsidP="000651C3">
            <w:pPr>
              <w:tabs>
                <w:tab w:val="right" w:pos="2671"/>
              </w:tabs>
              <w:jc w:val="center"/>
              <w:rPr>
                <w:sz w:val="18"/>
              </w:rPr>
            </w:pPr>
            <w:r>
              <w:rPr>
                <w:noProof/>
                <w:lang w:eastAsia="lt-LT"/>
              </w:rPr>
              <w:drawing>
                <wp:inline distT="0" distB="0" distL="0" distR="0" wp14:anchorId="1DD7E6C1" wp14:editId="7EBC3A8C">
                  <wp:extent cx="476250" cy="571500"/>
                  <wp:effectExtent l="0" t="0" r="0" b="0"/>
                  <wp:docPr id="7"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r>
    </w:tbl>
    <w:p w:rsidR="00330AF8" w:rsidRDefault="00330AF8" w:rsidP="00330AF8">
      <w:pPr>
        <w:keepNext/>
        <w:overflowPunct w:val="0"/>
        <w:autoSpaceDE w:val="0"/>
        <w:autoSpaceDN w:val="0"/>
        <w:adjustRightInd w:val="0"/>
        <w:jc w:val="center"/>
        <w:textAlignment w:val="baseline"/>
        <w:outlineLvl w:val="0"/>
        <w:rPr>
          <w:b/>
          <w:sz w:val="12"/>
          <w:szCs w:val="20"/>
        </w:rPr>
      </w:pPr>
    </w:p>
    <w:p w:rsidR="00330AF8" w:rsidRDefault="00330AF8" w:rsidP="00330AF8">
      <w:pPr>
        <w:keepNext/>
        <w:overflowPunct w:val="0"/>
        <w:autoSpaceDE w:val="0"/>
        <w:autoSpaceDN w:val="0"/>
        <w:adjustRightInd w:val="0"/>
        <w:jc w:val="center"/>
        <w:outlineLvl w:val="0"/>
        <w:rPr>
          <w:b/>
          <w:sz w:val="26"/>
          <w:szCs w:val="26"/>
        </w:rPr>
      </w:pPr>
      <w:r>
        <w:rPr>
          <w:b/>
          <w:sz w:val="26"/>
          <w:szCs w:val="26"/>
        </w:rPr>
        <w:t>VALSTYBINIO SOCIALINIO DRAUDIMO FONDO VALDYBOS (SUDARYTOJAS)</w:t>
      </w:r>
    </w:p>
    <w:p w:rsidR="00330AF8" w:rsidRDefault="00330AF8" w:rsidP="00330AF8">
      <w:pPr>
        <w:tabs>
          <w:tab w:val="left" w:pos="720"/>
          <w:tab w:val="center" w:pos="4153"/>
          <w:tab w:val="right" w:pos="8306"/>
        </w:tabs>
        <w:jc w:val="center"/>
        <w:rPr>
          <w:b/>
          <w:bCs/>
          <w:sz w:val="28"/>
        </w:rPr>
      </w:pPr>
    </w:p>
    <w:p w:rsidR="00330AF8" w:rsidRDefault="00330AF8" w:rsidP="00330AF8">
      <w:pPr>
        <w:tabs>
          <w:tab w:val="left" w:pos="720"/>
          <w:tab w:val="center" w:pos="4153"/>
          <w:tab w:val="right" w:pos="8306"/>
        </w:tabs>
        <w:jc w:val="center"/>
        <w:rPr>
          <w:b/>
          <w:bCs/>
        </w:rPr>
      </w:pPr>
      <w:r>
        <w:rPr>
          <w:b/>
          <w:bCs/>
        </w:rPr>
        <w:t>SPRENDIMAS</w:t>
      </w:r>
    </w:p>
    <w:p w:rsidR="00330AF8" w:rsidRDefault="00330AF8" w:rsidP="00330AF8">
      <w:pPr>
        <w:tabs>
          <w:tab w:val="left" w:pos="720"/>
          <w:tab w:val="center" w:pos="4153"/>
          <w:tab w:val="right" w:pos="8306"/>
        </w:tabs>
        <w:jc w:val="center"/>
        <w:rPr>
          <w:b/>
          <w:bCs/>
        </w:rPr>
      </w:pPr>
      <w:r>
        <w:rPr>
          <w:b/>
          <w:bCs/>
        </w:rPr>
        <w:t>DĖL (DRAUDĖJO PAVADINIMAS IR</w:t>
      </w:r>
      <w:r w:rsidRPr="00A14E1A">
        <w:rPr>
          <w:b/>
          <w:bCs/>
        </w:rPr>
        <w:t xml:space="preserve"> INDIVIDUALIOS ĮMONĖS SAVININKO (ŪKINĖS BEND</w:t>
      </w:r>
      <w:r>
        <w:rPr>
          <w:b/>
          <w:bCs/>
        </w:rPr>
        <w:t>RIJOS TIKROJO (-ŲJŲ) NARIO (-IŲ) SKOLOS IŠIEŠKOJIMO PRIVERSTINE TVARKA</w:t>
      </w:r>
    </w:p>
    <w:p w:rsidR="00330AF8" w:rsidRDefault="00330AF8" w:rsidP="00330AF8">
      <w:pPr>
        <w:jc w:val="center"/>
      </w:pPr>
    </w:p>
    <w:p w:rsidR="00330AF8" w:rsidRDefault="00330AF8" w:rsidP="00330AF8">
      <w:pPr>
        <w:jc w:val="center"/>
      </w:pPr>
      <w:r>
        <w:t xml:space="preserve">20     m.                      d. Nr.  </w:t>
      </w:r>
    </w:p>
    <w:p w:rsidR="00330AF8" w:rsidRDefault="00330AF8" w:rsidP="00330AF8">
      <w:pPr>
        <w:jc w:val="center"/>
      </w:pPr>
      <w:r>
        <w:t>(Sudarymo vieta)</w:t>
      </w:r>
    </w:p>
    <w:p w:rsidR="00330AF8" w:rsidRDefault="00330AF8" w:rsidP="00330AF8">
      <w:pPr>
        <w:tabs>
          <w:tab w:val="left" w:pos="720"/>
          <w:tab w:val="center" w:pos="4153"/>
          <w:tab w:val="right" w:pos="8306"/>
        </w:tabs>
        <w:ind w:firstLine="993"/>
        <w:jc w:val="both"/>
      </w:pPr>
    </w:p>
    <w:p w:rsidR="00330AF8" w:rsidRPr="009F079E" w:rsidRDefault="00330AF8" w:rsidP="00330AF8">
      <w:pPr>
        <w:tabs>
          <w:tab w:val="left" w:pos="720"/>
          <w:tab w:val="center" w:pos="4153"/>
          <w:tab w:val="right" w:pos="8306"/>
        </w:tabs>
        <w:ind w:firstLine="993"/>
        <w:jc w:val="both"/>
      </w:pPr>
      <w:r w:rsidRPr="009F079E">
        <w:t xml:space="preserve">Vadovaudamasis (-si) Lietuvos Respublikos valstybinio socialinio draudimo įstatymo 20 straipsniu,  40 straipsnio 3 dalimi, Lietuvos Respublikos civilinio kodekso 2.50 straipsnio 4 dalimi ir atsižvelgdamas (-a) į </w:t>
      </w:r>
      <w:r w:rsidRPr="009F079E">
        <w:rPr>
          <w:bCs/>
        </w:rPr>
        <w:t>individualios įmonės (ūkinės bendrijos) ir (ar) individualios įmonės savininko (ūkinės bendrijos tikrojo (-</w:t>
      </w:r>
      <w:proofErr w:type="spellStart"/>
      <w:r w:rsidRPr="009F079E">
        <w:rPr>
          <w:bCs/>
        </w:rPr>
        <w:t>ųjų</w:t>
      </w:r>
      <w:proofErr w:type="spellEnd"/>
      <w:r w:rsidRPr="009F079E">
        <w:rPr>
          <w:bCs/>
        </w:rPr>
        <w:t>) nario (-</w:t>
      </w:r>
      <w:proofErr w:type="spellStart"/>
      <w:r w:rsidRPr="009F079E">
        <w:rPr>
          <w:bCs/>
        </w:rPr>
        <w:t>ių</w:t>
      </w:r>
      <w:proofErr w:type="spellEnd"/>
      <w:r w:rsidRPr="009F079E">
        <w:rPr>
          <w:bCs/>
        </w:rPr>
        <w:t>)</w:t>
      </w:r>
      <w:r w:rsidRPr="009F079E">
        <w:t xml:space="preserve"> atžvilgiu priimtus ir nebaigtus vykdyti (nurodomi sprendimai) dėl skolos išieškojimo priverstine tvarka n u s p r e n d ž i u:</w:t>
      </w:r>
    </w:p>
    <w:p w:rsidR="00330AF8" w:rsidRPr="009F079E" w:rsidRDefault="00330AF8" w:rsidP="00330AF8">
      <w:pPr>
        <w:tabs>
          <w:tab w:val="left" w:pos="720"/>
          <w:tab w:val="center" w:pos="4153"/>
          <w:tab w:val="right" w:pos="8306"/>
        </w:tabs>
        <w:ind w:firstLine="993"/>
        <w:jc w:val="both"/>
      </w:pPr>
      <w:r w:rsidRPr="009F079E">
        <w:t xml:space="preserve">1. išieškoti priverstine tvarka į Valstybinio socialinio draudimo fondą iš </w:t>
      </w:r>
      <w:r w:rsidRPr="009F079E">
        <w:rPr>
          <w:noProof/>
        </w:rPr>
        <w:t>(pavadinimas, draudėjo kodas, buveinės adresas)</w:t>
      </w:r>
      <w:r w:rsidRPr="009F079E">
        <w:t xml:space="preserve"> turto skolą, kuri 20…-…-… yra ... </w:t>
      </w:r>
      <w:r w:rsidRPr="009F079E">
        <w:rPr>
          <w:noProof/>
        </w:rPr>
        <w:t>(suma žodžiais)</w:t>
      </w:r>
      <w:r w:rsidRPr="009F079E">
        <w:t>, iš jų: įmokų ... , palūkanų ... , baudos ... , delspinigių ... .</w:t>
      </w:r>
    </w:p>
    <w:p w:rsidR="00330AF8" w:rsidRPr="009F079E" w:rsidRDefault="00330AF8" w:rsidP="00330AF8">
      <w:pPr>
        <w:tabs>
          <w:tab w:val="left" w:pos="720"/>
          <w:tab w:val="center" w:pos="4153"/>
          <w:tab w:val="right" w:pos="8306"/>
        </w:tabs>
        <w:ind w:firstLine="993"/>
        <w:jc w:val="both"/>
      </w:pPr>
      <w:r w:rsidRPr="009F079E">
        <w:t>2. išieškoti priverstine tvarka į Valstybinio socialinio draudimo fondą iš individualios įmonės savininko (ūkinės bendrijos tikrojo (-</w:t>
      </w:r>
      <w:proofErr w:type="spellStart"/>
      <w:r w:rsidRPr="009F079E">
        <w:t>ųjų</w:t>
      </w:r>
      <w:proofErr w:type="spellEnd"/>
      <w:r w:rsidRPr="009F079E">
        <w:t>) nario (-</w:t>
      </w:r>
      <w:proofErr w:type="spellStart"/>
      <w:r w:rsidRPr="009F079E">
        <w:t>ių</w:t>
      </w:r>
      <w:proofErr w:type="spellEnd"/>
      <w:r w:rsidRPr="009F079E">
        <w:t xml:space="preserve">) </w:t>
      </w:r>
      <w:r w:rsidRPr="009F079E">
        <w:rPr>
          <w:noProof/>
        </w:rPr>
        <w:t>(vardas ir pavardė, asmens kodas, gyvenamosios vietos adresas)</w:t>
      </w:r>
      <w:r w:rsidRPr="009F079E">
        <w:t xml:space="preserve"> turto šio sprendimo 1 dalyje nurodytą skolą, jeigu iš individualios įmonės (ūkinės bendrijos) sąskaitų skola neišieškoma ir nenustatoma individualios įmonės (ūkinės bendrijos) turto, kurio užtektų individualios įmonės (ūkinės bendrijos) prievolėms įvykdyti.</w:t>
      </w:r>
    </w:p>
    <w:p w:rsidR="00330AF8" w:rsidRPr="009F079E" w:rsidRDefault="00330AF8" w:rsidP="00330AF8">
      <w:pPr>
        <w:tabs>
          <w:tab w:val="left" w:pos="720"/>
          <w:tab w:val="center" w:pos="4153"/>
          <w:tab w:val="right" w:pos="8306"/>
        </w:tabs>
        <w:ind w:firstLine="993"/>
        <w:jc w:val="both"/>
      </w:pPr>
      <w:r>
        <w:t xml:space="preserve">Pagal </w:t>
      </w:r>
      <w:r w:rsidRPr="00A70ABA">
        <w:t>Lietuvos Respublikos valstybini</w:t>
      </w:r>
      <w:r>
        <w:t xml:space="preserve">o socialinio draudimo įstatymo </w:t>
      </w:r>
      <w:r w:rsidRPr="00EB7FD1">
        <w:rPr>
          <w:color w:val="000000"/>
        </w:rPr>
        <w:t>41</w:t>
      </w:r>
      <w:r>
        <w:rPr>
          <w:color w:val="FF0000"/>
        </w:rPr>
        <w:t xml:space="preserve"> </w:t>
      </w:r>
      <w:r w:rsidRPr="00A70ABA">
        <w:t>straipsnio</w:t>
      </w:r>
      <w:r>
        <w:t xml:space="preserve"> 1 ir 2 dalis š</w:t>
      </w:r>
      <w:r w:rsidRPr="00A70ABA">
        <w:t>is sprendimas</w:t>
      </w:r>
      <w:r>
        <w:t xml:space="preserve"> </w:t>
      </w:r>
      <w:r w:rsidRPr="00A70ABA">
        <w:t>gali būti apskųstas</w:t>
      </w:r>
      <w:r>
        <w:t xml:space="preserve"> Valstybinio socialinio draudimo fondo valdybai prie Socialinės apsaugos ir darbo ministerijos (Konstitucijos pr. 12, Vilnius) per 20 darbo dienų nuo tos dienos, kai sužinojote ar turėjote sužinoti apie šio sprendimo priėmimą.</w:t>
      </w:r>
    </w:p>
    <w:p w:rsidR="00330AF8" w:rsidRDefault="00330AF8" w:rsidP="00330AF8">
      <w:pPr>
        <w:tabs>
          <w:tab w:val="left" w:pos="720"/>
          <w:tab w:val="center" w:pos="4153"/>
          <w:tab w:val="right" w:pos="8306"/>
        </w:tabs>
        <w:ind w:firstLine="993"/>
        <w:jc w:val="both"/>
      </w:pPr>
      <w:r>
        <w:t xml:space="preserve">PRIDEDAMA. </w:t>
      </w:r>
    </w:p>
    <w:p w:rsidR="00330AF8" w:rsidRDefault="00330AF8" w:rsidP="00330AF8"/>
    <w:tbl>
      <w:tblPr>
        <w:tblW w:w="9690" w:type="dxa"/>
        <w:tblInd w:w="-35" w:type="dxa"/>
        <w:tblLayout w:type="fixed"/>
        <w:tblCellMar>
          <w:left w:w="107" w:type="dxa"/>
          <w:right w:w="107" w:type="dxa"/>
        </w:tblCellMar>
        <w:tblLook w:val="00A0" w:firstRow="1" w:lastRow="0" w:firstColumn="1" w:lastColumn="0" w:noHBand="0" w:noVBand="0"/>
      </w:tblPr>
      <w:tblGrid>
        <w:gridCol w:w="5539"/>
        <w:gridCol w:w="4151"/>
      </w:tblGrid>
      <w:tr w:rsidR="00330AF8" w:rsidTr="000651C3">
        <w:tc>
          <w:tcPr>
            <w:tcW w:w="5542" w:type="dxa"/>
          </w:tcPr>
          <w:p w:rsidR="00330AF8" w:rsidRDefault="00330AF8" w:rsidP="000651C3">
            <w:pPr>
              <w:jc w:val="both"/>
            </w:pPr>
            <w:r>
              <w:t>(Pareigų pavadinimas)                                     (Parašas)</w:t>
            </w:r>
          </w:p>
          <w:p w:rsidR="00330AF8" w:rsidRDefault="00330AF8" w:rsidP="000651C3">
            <w:pPr>
              <w:jc w:val="both"/>
            </w:pPr>
          </w:p>
          <w:p w:rsidR="00330AF8" w:rsidRDefault="00330AF8" w:rsidP="000651C3">
            <w:pPr>
              <w:jc w:val="both"/>
            </w:pPr>
            <w:r>
              <w:t xml:space="preserve">                              A.V.</w:t>
            </w:r>
          </w:p>
        </w:tc>
        <w:tc>
          <w:tcPr>
            <w:tcW w:w="4154" w:type="dxa"/>
          </w:tcPr>
          <w:p w:rsidR="00330AF8" w:rsidRDefault="00330AF8" w:rsidP="000651C3">
            <w:r>
              <w:rPr>
                <w:noProof/>
              </w:rPr>
              <w:t>(Vardas ir pavardė)</w:t>
            </w:r>
          </w:p>
          <w:p w:rsidR="00330AF8" w:rsidRDefault="00330AF8" w:rsidP="000651C3"/>
        </w:tc>
      </w:tr>
    </w:tbl>
    <w:p w:rsidR="00D82850" w:rsidRDefault="00D82850">
      <w:bookmarkStart w:id="0" w:name="_GoBack"/>
      <w:bookmarkEnd w:id="0"/>
    </w:p>
    <w:sectPr w:rsidR="00D828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F8"/>
    <w:rsid w:val="00330AF8"/>
    <w:rsid w:val="00D828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0AF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0AF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Words>
  <Characters>913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2017-01-26T07:27:00Z</dcterms:created>
  <dc:creator>PAVKŠTELO Julita</dc:creator>
  <lastModifiedBy>PAVKŠTELO Julita</lastModifiedBy>
  <dcterms:modified xsi:type="dcterms:W3CDTF">2017-01-26T07:27:00Z</dcterms:modified>
  <revision>1</revision>
</coreProperties>
</file>