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784B7" w14:textId="5D4DDD12" w:rsidR="003A45B8" w:rsidRDefault="00655494" w:rsidP="00FB7D79">
      <w:pPr>
        <w:spacing w:after="0" w:line="240" w:lineRule="auto"/>
        <w:ind w:left="8222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215BA3">
        <w:rPr>
          <w:rFonts w:ascii="Times New Roman" w:eastAsia="Calibri" w:hAnsi="Times New Roman" w:cs="Times New Roman"/>
          <w:sz w:val="24"/>
          <w:szCs w:val="24"/>
        </w:rPr>
        <w:t>2014–2020 metų Europos Sąj</w:t>
      </w:r>
      <w:r w:rsidR="00726872" w:rsidRPr="00215BA3">
        <w:rPr>
          <w:rFonts w:ascii="Times New Roman" w:eastAsia="Calibri" w:hAnsi="Times New Roman" w:cs="Times New Roman"/>
          <w:sz w:val="24"/>
          <w:szCs w:val="24"/>
        </w:rPr>
        <w:t xml:space="preserve">ungos fondų investicijų veiksmų </w:t>
      </w:r>
      <w:r w:rsidRPr="00215BA3">
        <w:rPr>
          <w:rFonts w:ascii="Times New Roman" w:eastAsia="Calibri" w:hAnsi="Times New Roman" w:cs="Times New Roman"/>
          <w:sz w:val="24"/>
          <w:szCs w:val="24"/>
        </w:rPr>
        <w:t>programos</w:t>
      </w:r>
      <w:r w:rsidR="00726872" w:rsidRPr="00215B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66FF" w:rsidRPr="00215BA3">
        <w:rPr>
          <w:rFonts w:ascii="Times New Roman" w:eastAsia="Calibri" w:hAnsi="Times New Roman" w:cs="Times New Roman"/>
          <w:sz w:val="24"/>
          <w:szCs w:val="24"/>
        </w:rPr>
        <w:t>9</w:t>
      </w:r>
      <w:r w:rsidRPr="00215BA3">
        <w:rPr>
          <w:rFonts w:ascii="Times New Roman" w:eastAsia="Calibri" w:hAnsi="Times New Roman" w:cs="Times New Roman"/>
          <w:sz w:val="24"/>
          <w:szCs w:val="24"/>
        </w:rPr>
        <w:t xml:space="preserve"> prioriteto „</w:t>
      </w:r>
      <w:r w:rsidR="00AB66FF" w:rsidRPr="00215BA3">
        <w:rPr>
          <w:rFonts w:ascii="Times New Roman" w:eastAsia="Calibri" w:hAnsi="Times New Roman" w:cs="Times New Roman"/>
          <w:sz w:val="24"/>
          <w:szCs w:val="24"/>
        </w:rPr>
        <w:t>Visuomenės švietimas ir žmogiškųjų išteklių potencialo didinimas</w:t>
      </w:r>
      <w:r w:rsidRPr="00215BA3">
        <w:rPr>
          <w:rFonts w:ascii="Times New Roman" w:eastAsia="Calibri" w:hAnsi="Times New Roman" w:cs="Times New Roman"/>
          <w:sz w:val="24"/>
          <w:szCs w:val="24"/>
        </w:rPr>
        <w:t>“</w:t>
      </w:r>
      <w:r w:rsidR="00AC1F8D" w:rsidRPr="00215B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28E2" w:rsidRPr="00624D9E">
        <w:rPr>
          <w:rFonts w:ascii="Times New Roman" w:eastAsia="Calibri" w:hAnsi="Times New Roman" w:cs="Times New Roman"/>
          <w:sz w:val="24"/>
          <w:szCs w:val="24"/>
        </w:rPr>
        <w:t>09.1.2-CPVA-K-722 priemonės „Profesinio mokymo infrastruktūros plėtra“</w:t>
      </w:r>
      <w:r w:rsidR="003A45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5BA3">
        <w:rPr>
          <w:rFonts w:ascii="Times New Roman" w:eastAsia="Calibri" w:hAnsi="Times New Roman" w:cs="Times New Roman"/>
          <w:sz w:val="24"/>
          <w:szCs w:val="24"/>
        </w:rPr>
        <w:t>projektų</w:t>
      </w:r>
      <w:r w:rsidR="00916F0B" w:rsidRPr="00215BA3">
        <w:rPr>
          <w:rFonts w:ascii="Times New Roman" w:eastAsia="Calibri" w:hAnsi="Times New Roman" w:cs="Times New Roman"/>
          <w:sz w:val="24"/>
          <w:szCs w:val="24"/>
        </w:rPr>
        <w:t xml:space="preserve"> finansavimo sąlygų aprašo</w:t>
      </w:r>
      <w:r w:rsidR="002624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016B737" w14:textId="3EEE1E2C" w:rsidR="00655494" w:rsidRPr="00224663" w:rsidRDefault="00655494" w:rsidP="00FB7D79">
      <w:pPr>
        <w:spacing w:after="0" w:line="240" w:lineRule="auto"/>
        <w:ind w:left="8222"/>
        <w:rPr>
          <w:rFonts w:ascii="Times New Roman" w:eastAsia="Calibri" w:hAnsi="Times New Roman" w:cs="Times New Roman"/>
          <w:sz w:val="24"/>
          <w:szCs w:val="24"/>
        </w:rPr>
      </w:pPr>
      <w:r w:rsidRPr="00215BA3">
        <w:rPr>
          <w:rFonts w:ascii="Times New Roman" w:eastAsia="Calibri" w:hAnsi="Times New Roman" w:cs="Times New Roman"/>
          <w:sz w:val="24"/>
          <w:szCs w:val="24"/>
        </w:rPr>
        <w:t>2 priedas</w:t>
      </w:r>
    </w:p>
    <w:tbl>
      <w:tblPr>
        <w:tblW w:w="149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940"/>
      </w:tblGrid>
      <w:tr w:rsidR="00655494" w:rsidRPr="00215BA3" w14:paraId="37821AA8" w14:textId="77777777" w:rsidTr="000265C2">
        <w:trPr>
          <w:trHeight w:val="20"/>
        </w:trPr>
        <w:tc>
          <w:tcPr>
            <w:tcW w:w="14940" w:type="dxa"/>
            <w:tcBorders>
              <w:top w:val="nil"/>
              <w:left w:val="nil"/>
              <w:right w:val="nil"/>
            </w:tcBorders>
          </w:tcPr>
          <w:p w14:paraId="627FAD58" w14:textId="77777777" w:rsidR="00655494" w:rsidRPr="00215BA3" w:rsidRDefault="00655494" w:rsidP="006554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</w:p>
          <w:p w14:paraId="5729E62E" w14:textId="77777777" w:rsidR="00655494" w:rsidRPr="00215BA3" w:rsidRDefault="00655494" w:rsidP="006554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  <w:r w:rsidRPr="00215BA3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PROJEKTO Naudos ir kokybės vertinimo LENTELĖ</w:t>
            </w:r>
          </w:p>
          <w:p w14:paraId="7D704B0C" w14:textId="77777777" w:rsidR="00655494" w:rsidRPr="00215BA3" w:rsidRDefault="00655494" w:rsidP="0065549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</w:p>
          <w:tbl>
            <w:tblPr>
              <w:tblW w:w="147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6"/>
              <w:gridCol w:w="10915"/>
            </w:tblGrid>
            <w:tr w:rsidR="00655494" w:rsidRPr="00215BA3" w14:paraId="77735E09" w14:textId="77777777" w:rsidTr="000265C2">
              <w:tc>
                <w:tcPr>
                  <w:tcW w:w="3856" w:type="dxa"/>
                  <w:shd w:val="clear" w:color="auto" w:fill="auto"/>
                </w:tcPr>
                <w:p w14:paraId="57FC117B" w14:textId="77777777" w:rsidR="00655494" w:rsidRPr="00215BA3" w:rsidRDefault="00655494" w:rsidP="00655494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bCs/>
                      <w:i/>
                      <w:caps/>
                      <w:sz w:val="24"/>
                      <w:szCs w:val="24"/>
                    </w:rPr>
                  </w:pPr>
                  <w:r w:rsidRPr="00215BA3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Paraiškos kodas</w:t>
                  </w:r>
                </w:p>
              </w:tc>
              <w:tc>
                <w:tcPr>
                  <w:tcW w:w="10915" w:type="dxa"/>
                  <w:shd w:val="clear" w:color="auto" w:fill="auto"/>
                </w:tcPr>
                <w:p w14:paraId="7C377AEA" w14:textId="077DF423" w:rsidR="00655494" w:rsidRPr="00215BA3" w:rsidRDefault="00655494" w:rsidP="00655494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655494" w:rsidRPr="00215BA3" w14:paraId="17707152" w14:textId="77777777" w:rsidTr="000265C2">
              <w:tc>
                <w:tcPr>
                  <w:tcW w:w="3856" w:type="dxa"/>
                  <w:shd w:val="clear" w:color="auto" w:fill="auto"/>
                </w:tcPr>
                <w:p w14:paraId="1FEB895D" w14:textId="77777777" w:rsidR="00655494" w:rsidRPr="00215BA3" w:rsidRDefault="00655494" w:rsidP="00655494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215BA3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Pareiškėjo pavadinimas</w:t>
                  </w:r>
                </w:p>
              </w:tc>
              <w:tc>
                <w:tcPr>
                  <w:tcW w:w="10915" w:type="dxa"/>
                  <w:shd w:val="clear" w:color="auto" w:fill="auto"/>
                </w:tcPr>
                <w:p w14:paraId="2A0185A2" w14:textId="060B8A0E" w:rsidR="00655494" w:rsidRPr="00215BA3" w:rsidRDefault="00655494" w:rsidP="00655494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  <w:lang w:eastAsia="lt-LT"/>
                    </w:rPr>
                  </w:pPr>
                </w:p>
              </w:tc>
            </w:tr>
            <w:tr w:rsidR="00655494" w:rsidRPr="00215BA3" w14:paraId="14972B0C" w14:textId="77777777" w:rsidTr="000265C2">
              <w:tc>
                <w:tcPr>
                  <w:tcW w:w="3856" w:type="dxa"/>
                  <w:shd w:val="clear" w:color="auto" w:fill="auto"/>
                </w:tcPr>
                <w:p w14:paraId="4FB8059E" w14:textId="77777777" w:rsidR="00655494" w:rsidRPr="00215BA3" w:rsidRDefault="00655494" w:rsidP="00655494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bCs/>
                      <w:i/>
                      <w:caps/>
                      <w:sz w:val="24"/>
                      <w:szCs w:val="24"/>
                    </w:rPr>
                  </w:pPr>
                  <w:r w:rsidRPr="00215BA3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Projekto pavadinimas</w:t>
                  </w:r>
                </w:p>
              </w:tc>
              <w:tc>
                <w:tcPr>
                  <w:tcW w:w="10915" w:type="dxa"/>
                  <w:shd w:val="clear" w:color="auto" w:fill="auto"/>
                </w:tcPr>
                <w:p w14:paraId="61BC6C64" w14:textId="03BBFC6D" w:rsidR="00655494" w:rsidRPr="00215BA3" w:rsidRDefault="00655494" w:rsidP="00655494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  <w:lang w:eastAsia="lt-LT"/>
                    </w:rPr>
                  </w:pPr>
                </w:p>
              </w:tc>
            </w:tr>
            <w:tr w:rsidR="00655494" w:rsidRPr="00215BA3" w14:paraId="07BB31C3" w14:textId="19DEB256" w:rsidTr="000265C2">
              <w:tc>
                <w:tcPr>
                  <w:tcW w:w="14771" w:type="dxa"/>
                  <w:gridSpan w:val="2"/>
                  <w:shd w:val="clear" w:color="auto" w:fill="auto"/>
                </w:tcPr>
                <w:p w14:paraId="065B225C" w14:textId="64A8590C" w:rsidR="00655494" w:rsidRPr="00CB4442" w:rsidRDefault="00655494" w:rsidP="00655494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CB444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Projektą planuojama įgyvendinti: </w:t>
                  </w:r>
                </w:p>
                <w:p w14:paraId="7141E355" w14:textId="58463EA9" w:rsidR="00655494" w:rsidRPr="00215BA3" w:rsidRDefault="00655494" w:rsidP="00655494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CB444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 su partneriu (-</w:t>
                  </w:r>
                  <w:proofErr w:type="spellStart"/>
                  <w:r w:rsidRPr="00CB444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iais</w:t>
                  </w:r>
                  <w:proofErr w:type="spellEnd"/>
                  <w:r w:rsidRPr="00CB444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)              </w:t>
                  </w:r>
                  <w:r w:rsidRPr="00CB444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 be partnerio (-</w:t>
                  </w:r>
                  <w:proofErr w:type="spellStart"/>
                  <w:r w:rsidRPr="00CB444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ių</w:t>
                  </w:r>
                  <w:proofErr w:type="spellEnd"/>
                  <w:r w:rsidRPr="00CB444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)</w:t>
                  </w:r>
                </w:p>
              </w:tc>
            </w:tr>
            <w:tr w:rsidR="00655494" w:rsidRPr="00215BA3" w14:paraId="76CE7E58" w14:textId="77777777" w:rsidTr="000265C2">
              <w:tc>
                <w:tcPr>
                  <w:tcW w:w="14771" w:type="dxa"/>
                  <w:gridSpan w:val="2"/>
                  <w:shd w:val="clear" w:color="auto" w:fill="auto"/>
                </w:tcPr>
                <w:p w14:paraId="3370BF50" w14:textId="77777777" w:rsidR="00655494" w:rsidRPr="00215BA3" w:rsidRDefault="00655494" w:rsidP="00655494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</w:p>
                <w:p w14:paraId="4CCEA538" w14:textId="77777777" w:rsidR="00655494" w:rsidRPr="00215BA3" w:rsidRDefault="00655494" w:rsidP="00655494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215BA3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 PIRMINĖ               </w:t>
                  </w:r>
                  <w:r w:rsidRPr="00215BA3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PATIKSLINTA</w:t>
                  </w:r>
                </w:p>
                <w:p w14:paraId="79C43266" w14:textId="0C3F1D64" w:rsidR="007E51B4" w:rsidRPr="00020E24" w:rsidRDefault="00020E24" w:rsidP="00020E24">
                  <w:pPr>
                    <w:rPr>
                      <w:rFonts w:ascii="Times New Roman" w:hAnsi="Times New Roman" w:cs="Times New Roman"/>
                      <w:bCs/>
                      <w:i/>
                      <w:lang w:eastAsia="lt-LT"/>
                    </w:rPr>
                  </w:pPr>
                  <w:r w:rsidRPr="00020E24">
                    <w:rPr>
                      <w:rFonts w:ascii="Times New Roman" w:hAnsi="Times New Roman" w:cs="Times New Roman"/>
                      <w:bCs/>
                      <w:i/>
                      <w:lang w:eastAsia="lt-LT"/>
                    </w:rPr>
                    <w:t>(Žymima „Patikslinta“ tais atvejais, kai ši lentelė tikslinama po to, kai paraiška grąžinama pakartotiniam vertinimui.)</w:t>
                  </w:r>
                </w:p>
              </w:tc>
            </w:tr>
          </w:tbl>
          <w:p w14:paraId="6AD1E995" w14:textId="77777777" w:rsidR="00655494" w:rsidRPr="00215BA3" w:rsidRDefault="00655494" w:rsidP="00655494">
            <w:pPr>
              <w:spacing w:after="0" w:line="276" w:lineRule="auto"/>
              <w:ind w:right="37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1FADD76" w14:textId="77777777" w:rsidR="006C7CA2" w:rsidRPr="00215BA3" w:rsidRDefault="006C7CA2" w:rsidP="00655494">
            <w:pPr>
              <w:spacing w:after="0" w:line="276" w:lineRule="auto"/>
              <w:ind w:right="37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tbl>
            <w:tblPr>
              <w:tblW w:w="14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6"/>
              <w:gridCol w:w="6271"/>
              <w:gridCol w:w="1984"/>
              <w:gridCol w:w="1701"/>
              <w:gridCol w:w="1843"/>
            </w:tblGrid>
            <w:tr w:rsidR="00655494" w:rsidRPr="00215BA3" w14:paraId="76483502" w14:textId="77777777" w:rsidTr="000265C2">
              <w:trPr>
                <w:trHeight w:val="276"/>
              </w:trPr>
              <w:tc>
                <w:tcPr>
                  <w:tcW w:w="3006" w:type="dxa"/>
                  <w:vMerge w:val="restart"/>
                  <w:shd w:val="clear" w:color="auto" w:fill="auto"/>
                </w:tcPr>
                <w:p w14:paraId="600EB3BC" w14:textId="77777777" w:rsidR="00655494" w:rsidRPr="00215BA3" w:rsidRDefault="00655494" w:rsidP="00655494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215BA3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Prioritetinis projektų atrankos kriterijaus  (toliau – kriterijus) pavadinimas</w:t>
                  </w:r>
                </w:p>
              </w:tc>
              <w:tc>
                <w:tcPr>
                  <w:tcW w:w="6271" w:type="dxa"/>
                  <w:vMerge w:val="restart"/>
                  <w:shd w:val="clear" w:color="auto" w:fill="auto"/>
                </w:tcPr>
                <w:p w14:paraId="2F121228" w14:textId="77777777" w:rsidR="00655494" w:rsidRPr="00215BA3" w:rsidRDefault="00655494" w:rsidP="00655494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15BA3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Kriterijaus vertinimo aspektai ir paaiškinimai </w:t>
                  </w:r>
                </w:p>
                <w:p w14:paraId="634F60B8" w14:textId="77777777" w:rsidR="00655494" w:rsidRPr="00215BA3" w:rsidRDefault="00655494" w:rsidP="00655494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 w:val="restart"/>
                  <w:shd w:val="clear" w:color="auto" w:fill="auto"/>
                </w:tcPr>
                <w:p w14:paraId="773E6B07" w14:textId="77777777" w:rsidR="00655494" w:rsidRPr="00215BA3" w:rsidRDefault="00655494" w:rsidP="00655494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215BA3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Didžiausias galimas kriterijaus balas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14:paraId="309CD2DF" w14:textId="77777777" w:rsidR="00655494" w:rsidRPr="00215BA3" w:rsidRDefault="00655494" w:rsidP="00655494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215BA3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Vertinimo metu suteiktų balų skaičius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</w:tcPr>
                <w:p w14:paraId="0B527B13" w14:textId="77777777" w:rsidR="00655494" w:rsidRPr="00215BA3" w:rsidRDefault="00655494" w:rsidP="00655494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215BA3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Komentarai</w:t>
                  </w:r>
                </w:p>
              </w:tc>
            </w:tr>
            <w:tr w:rsidR="008B3E40" w:rsidRPr="00215BA3" w14:paraId="37448ED4" w14:textId="77777777" w:rsidTr="000265C2">
              <w:trPr>
                <w:trHeight w:val="276"/>
              </w:trPr>
              <w:tc>
                <w:tcPr>
                  <w:tcW w:w="3006" w:type="dxa"/>
                  <w:vMerge/>
                  <w:shd w:val="clear" w:color="auto" w:fill="auto"/>
                </w:tcPr>
                <w:p w14:paraId="4B2674E7" w14:textId="77777777" w:rsidR="008B3E40" w:rsidRPr="00215BA3" w:rsidRDefault="008B3E40" w:rsidP="00655494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271" w:type="dxa"/>
                  <w:vMerge/>
                  <w:shd w:val="clear" w:color="auto" w:fill="auto"/>
                </w:tcPr>
                <w:p w14:paraId="1D5FA068" w14:textId="77777777" w:rsidR="008B3E40" w:rsidRPr="00215BA3" w:rsidRDefault="008B3E40" w:rsidP="00655494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  <w:shd w:val="clear" w:color="auto" w:fill="auto"/>
                </w:tcPr>
                <w:p w14:paraId="78996B21" w14:textId="77777777" w:rsidR="008B3E40" w:rsidRPr="00215BA3" w:rsidRDefault="008B3E40" w:rsidP="00655494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14:paraId="30AFB76B" w14:textId="77777777" w:rsidR="008B3E40" w:rsidRPr="00215BA3" w:rsidRDefault="008B3E40" w:rsidP="00655494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14:paraId="601C4309" w14:textId="77777777" w:rsidR="008B3E40" w:rsidRPr="00215BA3" w:rsidRDefault="008B3E40" w:rsidP="00655494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55494" w:rsidRPr="00215BA3" w14:paraId="1C684E74" w14:textId="77777777" w:rsidTr="000265C2">
              <w:trPr>
                <w:trHeight w:val="276"/>
              </w:trPr>
              <w:tc>
                <w:tcPr>
                  <w:tcW w:w="3006" w:type="dxa"/>
                  <w:vMerge/>
                  <w:shd w:val="clear" w:color="auto" w:fill="auto"/>
                </w:tcPr>
                <w:p w14:paraId="5C283DB2" w14:textId="77777777" w:rsidR="00655494" w:rsidRPr="00215BA3" w:rsidRDefault="00655494" w:rsidP="0065549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6271" w:type="dxa"/>
                  <w:vMerge/>
                  <w:shd w:val="clear" w:color="auto" w:fill="auto"/>
                </w:tcPr>
                <w:p w14:paraId="0ED3B7F9" w14:textId="77777777" w:rsidR="00655494" w:rsidRPr="00215BA3" w:rsidRDefault="00655494" w:rsidP="0065549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  <w:shd w:val="clear" w:color="auto" w:fill="auto"/>
                </w:tcPr>
                <w:p w14:paraId="6B458AEB" w14:textId="77777777" w:rsidR="00655494" w:rsidRPr="00215BA3" w:rsidRDefault="00655494" w:rsidP="0065549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14:paraId="65EF53CD" w14:textId="77777777" w:rsidR="00655494" w:rsidRPr="00215BA3" w:rsidRDefault="00655494" w:rsidP="0065549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14:paraId="296ED82F" w14:textId="77777777" w:rsidR="00655494" w:rsidRPr="00215BA3" w:rsidRDefault="00655494" w:rsidP="0065549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</w:p>
              </w:tc>
            </w:tr>
            <w:tr w:rsidR="005E0F30" w:rsidRPr="00215BA3" w14:paraId="3638362B" w14:textId="77777777" w:rsidTr="000265C2">
              <w:tc>
                <w:tcPr>
                  <w:tcW w:w="3006" w:type="dxa"/>
                  <w:shd w:val="clear" w:color="auto" w:fill="auto"/>
                </w:tcPr>
                <w:p w14:paraId="3FA9CCD6" w14:textId="1EB22347" w:rsidR="005E0F30" w:rsidRPr="00215BA3" w:rsidRDefault="005E0F30" w:rsidP="007E51B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1. </w:t>
                  </w:r>
                  <w:r w:rsidRPr="00215B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Projekte numatyta, kad projekto metu atnaujinta profesinio mokymo infrastruktūra pasinaudos kuo didesnis skaičius mokinių.</w:t>
                  </w:r>
                </w:p>
              </w:tc>
              <w:tc>
                <w:tcPr>
                  <w:tcW w:w="6271" w:type="dxa"/>
                  <w:shd w:val="clear" w:color="auto" w:fill="auto"/>
                </w:tcPr>
                <w:p w14:paraId="7FF717D5" w14:textId="77777777" w:rsidR="005E0F30" w:rsidRPr="00215BA3" w:rsidRDefault="005E0F30" w:rsidP="005E0F30">
                  <w:pPr>
                    <w:widowControl w:val="0"/>
                    <w:adjustRightInd w:val="0"/>
                    <w:spacing w:after="0" w:line="240" w:lineRule="auto"/>
                    <w:contextualSpacing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5B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Didesnį balą gauna projektai, kuriuose projekto metu atnaujinta infrastruktūra galės pasinaudoti kuo didesnis skaičius mokinių.</w:t>
                  </w:r>
                </w:p>
                <w:p w14:paraId="455A32BA" w14:textId="77777777" w:rsidR="005E0F30" w:rsidRPr="00215BA3" w:rsidRDefault="005E0F30" w:rsidP="005E0F30">
                  <w:pPr>
                    <w:widowControl w:val="0"/>
                    <w:adjustRightInd w:val="0"/>
                    <w:spacing w:after="0" w:line="240" w:lineRule="auto"/>
                    <w:contextualSpacing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5B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Projektai </w:t>
                  </w:r>
                  <w:proofErr w:type="spellStart"/>
                  <w:r w:rsidRPr="00215B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suranguojami</w:t>
                  </w:r>
                  <w:proofErr w:type="spellEnd"/>
                  <w:r w:rsidRPr="00215B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nuo didžiausią mokinių, pasinaudojusių projekto metu atnaujinta infrastruktūra, skaičių numatančių projektų iki mažiausią mokinių, pasinaudojusių projekto metu atnaujinta infrastruktūra, skaičių numatančių projektų.</w:t>
                  </w:r>
                </w:p>
                <w:p w14:paraId="3058D639" w14:textId="0F26DB13" w:rsidR="005E0F30" w:rsidRDefault="005E0F30" w:rsidP="005E0F30">
                  <w:pPr>
                    <w:widowControl w:val="0"/>
                    <w:tabs>
                      <w:tab w:val="left" w:pos="522"/>
                    </w:tabs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5B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Mokinių skaičius pagrindžiamas tiesiogiai susiejant planuojamą plėtoti infrastruktūrą su įstaigos vykdomomis profesinio mokymo programomis ir tas programas baigusių mokinių skaičiaus per paskutinius 4 metus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(201</w:t>
                  </w:r>
                  <w:r w:rsidR="005641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="003A45B8">
                    <w:rPr>
                      <w:rFonts w:eastAsia="Calibri"/>
                      <w:szCs w:val="24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</w:t>
                  </w:r>
                  <w:r w:rsidR="005641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m.) </w:t>
                  </w:r>
                  <w:r w:rsidRPr="00215B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vidurkiu.</w:t>
                  </w:r>
                </w:p>
                <w:p w14:paraId="5B1F1B94" w14:textId="77777777" w:rsidR="005E0F30" w:rsidRPr="00E8251B" w:rsidRDefault="005E0F30" w:rsidP="005E0F30">
                  <w:pPr>
                    <w:widowControl w:val="0"/>
                    <w:tabs>
                      <w:tab w:val="left" w:pos="522"/>
                    </w:tabs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02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Informacija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apie mokinių skaičių pagrindžiama, užpildant Aprašo 3</w:t>
                  </w:r>
                  <w:r w:rsidRPr="007402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priedą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70240D46" w14:textId="5371D28F" w:rsidR="005E0F30" w:rsidRDefault="005E0F30" w:rsidP="005E0F30">
                  <w:pPr>
                    <w:widowControl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25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 xml:space="preserve">10 procentų (apvalinama iki sveiko skaičiaus, gavus rezultatą su skaičiumi „5“ po kablelio, apvalinama iki didesnio sveiko skaičiaus) </w:t>
                  </w:r>
                  <w:r w:rsidRPr="00E825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didžiausią mokinių, pasinaudojusių projekto metu atnaujinta infrastruktūra, skaičių numatančių </w:t>
                  </w:r>
                  <w:r w:rsidRPr="00E825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projektų vertinami 50 balų. Į kiekvieną kitą 10 procentų intervalą patenkantys mažesnį</w:t>
                  </w:r>
                  <w:r w:rsidRPr="00E825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mokinių, pasinaudojusių projekto metu atnaujinta infrastruktūra, skaičių numatantys</w:t>
                  </w:r>
                  <w:r w:rsidRPr="00E825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projektai vertinami suteikiant 5 balais mažesnį balą. Jei daugiau nei 10 procentų projektų konkurse dalyvauja su vienodu mokinių, </w:t>
                  </w:r>
                  <w:r w:rsidRPr="00E825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pasinaudojusių projekto metu atnaujinta infrastruktūra,</w:t>
                  </w:r>
                  <w:r w:rsidRPr="00E825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skaičiumi, visiems šio intervalo projektams skiriamas vienodas maksimalus šio intervalo balas.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321E26F9" w14:textId="5C75650A" w:rsidR="005E0F30" w:rsidRPr="00215BA3" w:rsidRDefault="005E0F30" w:rsidP="008B3E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en-US"/>
                    </w:rPr>
                    <w:lastRenderedPageBreak/>
                    <w:t>50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9C9F1B4" w14:textId="77777777" w:rsidR="005E0F30" w:rsidRPr="00215BA3" w:rsidRDefault="005E0F30" w:rsidP="008B3E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634A58A9" w14:textId="77777777" w:rsidR="005E0F30" w:rsidRPr="00215BA3" w:rsidRDefault="005E0F30" w:rsidP="008B3E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5E0F30" w:rsidRPr="00215BA3" w14:paraId="3B557F31" w14:textId="77777777" w:rsidTr="000265C2">
              <w:tc>
                <w:tcPr>
                  <w:tcW w:w="3006" w:type="dxa"/>
                  <w:shd w:val="clear" w:color="auto" w:fill="auto"/>
                </w:tcPr>
                <w:p w14:paraId="084947B5" w14:textId="0BBC76CA" w:rsidR="005E0F30" w:rsidRPr="00215BA3" w:rsidRDefault="005E0F30" w:rsidP="007E51B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2. </w:t>
                  </w:r>
                  <w:r w:rsidRPr="00215B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Pirminio profesinio mokymo programas baigę mokiniai, dirbantys pagal įgytą kvalifikaciją.</w:t>
                  </w:r>
                </w:p>
              </w:tc>
              <w:tc>
                <w:tcPr>
                  <w:tcW w:w="6271" w:type="dxa"/>
                  <w:shd w:val="clear" w:color="auto" w:fill="auto"/>
                </w:tcPr>
                <w:p w14:paraId="5B8CA762" w14:textId="3C2122BA" w:rsidR="005E0F30" w:rsidRPr="00215BA3" w:rsidRDefault="005E0F30" w:rsidP="005E0F30">
                  <w:pPr>
                    <w:widowControl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15B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Daugiau balų gauna tos profesinio mokymo įstaigos, kuriose mokinių baigusių pirminio profesinio mokymo programas, </w:t>
                  </w:r>
                  <w:proofErr w:type="spellStart"/>
                  <w:r w:rsidRPr="00215B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įsidarbinamumas</w:t>
                  </w:r>
                  <w:proofErr w:type="spellEnd"/>
                  <w:r w:rsidRPr="00215B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pagal įgytą kvalifikaciją buvo didesnis. Vertinama, koks skaičius mokinių (proc.), 2017 metais baigusių pirminio profesinio mokymo programas, iki 2018 m. sausio 1 d. įsidarbino pagal įgytą kvalifikaciją, palyginus su visais įsidarbinusiais mokiniais</w:t>
                  </w:r>
                  <w:r w:rsidR="003A45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</w:t>
                  </w:r>
                </w:p>
                <w:p w14:paraId="3DFE2F92" w14:textId="77777777" w:rsidR="005E0F30" w:rsidRPr="00215BA3" w:rsidRDefault="005E0F30" w:rsidP="005E0F30">
                  <w:pPr>
                    <w:pStyle w:val="Sraopastraipa"/>
                    <w:numPr>
                      <w:ilvl w:val="0"/>
                      <w:numId w:val="7"/>
                    </w:numPr>
                    <w:spacing w:after="0" w:line="254" w:lineRule="atLeast"/>
                    <w:ind w:left="351" w:hanging="35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215B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kai mokinių 2017 m. baigusių pirminio profesinio mokymo programą pagal įgytą kvalifikaciją </w:t>
                  </w:r>
                  <w:proofErr w:type="spellStart"/>
                  <w:r w:rsidRPr="00215B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įsidarbinamumas</w:t>
                  </w:r>
                  <w:proofErr w:type="spellEnd"/>
                  <w:r w:rsidRPr="00215B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iki 2018 m. sausio 1 d.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buvo </w:t>
                  </w:r>
                  <w:r w:rsidRPr="00215B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nuo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20 iki </w:t>
                  </w:r>
                  <w:r w:rsidRPr="00215B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0 </w:t>
                  </w:r>
                  <w:r w:rsidRPr="00215B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procentų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(imtinai)</w:t>
                  </w:r>
                  <w:r w:rsidRPr="00215B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skiriama</w:t>
                  </w:r>
                  <w:r w:rsidRPr="00215B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10</w:t>
                  </w:r>
                  <w:r w:rsidRPr="00215B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balų;</w:t>
                  </w:r>
                </w:p>
                <w:p w14:paraId="5B73CD21" w14:textId="77777777" w:rsidR="005E0F30" w:rsidRDefault="005E0F30" w:rsidP="005E0F30">
                  <w:pPr>
                    <w:pStyle w:val="Sraopastraipa"/>
                    <w:numPr>
                      <w:ilvl w:val="0"/>
                      <w:numId w:val="7"/>
                    </w:numPr>
                    <w:spacing w:after="0" w:line="254" w:lineRule="atLeast"/>
                    <w:ind w:left="351" w:hanging="35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215B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kai mokinių 2017 m. baigusių pirminio profesinio mokymo programą pagal įgytą kvalifikaciją </w:t>
                  </w:r>
                  <w:proofErr w:type="spellStart"/>
                  <w:r w:rsidRPr="00215B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įsidarbinamumas</w:t>
                  </w:r>
                  <w:proofErr w:type="spellEnd"/>
                  <w:r w:rsidRPr="00215B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iki 2018 m. sausio 1 d.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buvo </w:t>
                  </w:r>
                  <w:r w:rsidRPr="00215B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nuo 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 iki 4</w:t>
                  </w:r>
                  <w:r w:rsidRPr="00215B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0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(imtinai) </w:t>
                  </w:r>
                  <w:r w:rsidRPr="00215B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procentų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skiriama 20</w:t>
                  </w:r>
                  <w:r w:rsidRPr="00215B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balų;</w:t>
                  </w:r>
                </w:p>
                <w:p w14:paraId="049143B5" w14:textId="77777777" w:rsidR="005E0F30" w:rsidRPr="00215BA3" w:rsidRDefault="005E0F30" w:rsidP="005E0F30">
                  <w:pPr>
                    <w:pStyle w:val="Sraopastraipa"/>
                    <w:numPr>
                      <w:ilvl w:val="0"/>
                      <w:numId w:val="7"/>
                    </w:numPr>
                    <w:spacing w:after="0" w:line="254" w:lineRule="atLeast"/>
                    <w:ind w:left="351" w:hanging="35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215B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kai mokinių 2017 m. baigusių pirminio profesinio mokymo programą pagal įgytą kvalifikaciją </w:t>
                  </w:r>
                  <w:proofErr w:type="spellStart"/>
                  <w:r w:rsidRPr="00215B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įsidarbinamumas</w:t>
                  </w:r>
                  <w:proofErr w:type="spellEnd"/>
                  <w:r w:rsidRPr="00215B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iki 2018 m. sausio 1 d.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buvo </w:t>
                  </w:r>
                  <w:r w:rsidRPr="00215B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nuo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41 iki 5</w:t>
                  </w:r>
                  <w:r w:rsidRPr="00215B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0 procentų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(imtinai) skiriama 30</w:t>
                  </w:r>
                  <w:r w:rsidRPr="00215B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balų;</w:t>
                  </w:r>
                </w:p>
                <w:p w14:paraId="53DF2CA0" w14:textId="77777777" w:rsidR="005E0F30" w:rsidRDefault="005E0F30" w:rsidP="005E0F30">
                  <w:pPr>
                    <w:pStyle w:val="Sraopastraipa"/>
                    <w:numPr>
                      <w:ilvl w:val="0"/>
                      <w:numId w:val="7"/>
                    </w:numPr>
                    <w:spacing w:after="0" w:line="254" w:lineRule="atLeast"/>
                    <w:ind w:left="351" w:hanging="35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215B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kai mokinių 2017 m. baigusių pirminio profesinio mokymo programą pagal įgytą kvalifikaciją </w:t>
                  </w:r>
                  <w:proofErr w:type="spellStart"/>
                  <w:r w:rsidRPr="00215B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įsidarbinamumas</w:t>
                  </w:r>
                  <w:proofErr w:type="spellEnd"/>
                  <w:r w:rsidRPr="00215B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iki 2018 m. sausio 1 d.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buvo </w:t>
                  </w:r>
                  <w:r w:rsidRPr="00215B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nuo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51</w:t>
                  </w:r>
                  <w:r w:rsidRPr="00D90B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ki</w:t>
                  </w:r>
                  <w:r w:rsidRPr="00D90B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100</w:t>
                  </w:r>
                  <w:r w:rsidRPr="00D90B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procentų skiriama </w:t>
                  </w:r>
                  <w:r w:rsidRPr="00D90B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40 balų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.</w:t>
                  </w:r>
                </w:p>
                <w:p w14:paraId="1562EFF0" w14:textId="77777777" w:rsidR="003A45B8" w:rsidRDefault="003A45B8" w:rsidP="005E0F30">
                  <w:pPr>
                    <w:widowControl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</w:p>
                <w:p w14:paraId="7E509BAE" w14:textId="104C98B3" w:rsidR="005E0F30" w:rsidRPr="00835B9C" w:rsidRDefault="005E0F30" w:rsidP="005E0F30">
                  <w:pPr>
                    <w:widowControl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lastRenderedPageBreak/>
                    <w:t xml:space="preserve">Mokinių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įsidarbinamumas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vertinamas pagal </w:t>
                  </w:r>
                  <w:r w:rsidR="004F7846" w:rsidRPr="004F78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Valstybinių profesinio mokymo įstaigų, kuriose Švietimo ir mokslo ministerija įgyvendina savininko (dalininko) teises ir pareigas, tinklo</w:t>
                  </w:r>
                  <w:r w:rsidR="004F78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vystymo 2018–2020 metų bendrajame plane, patvirtintame</w:t>
                  </w:r>
                  <w:r w:rsidR="004F7846" w:rsidRPr="004F78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Lietuvos Respublikos švietimo ir mokslo ministro 2018 m. kovo 29 d. įsakymu Nr. V-305 „Dėl </w:t>
                  </w:r>
                  <w:r w:rsidR="003A45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V</w:t>
                  </w:r>
                  <w:r w:rsidR="004F7846" w:rsidRPr="004F78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alstybinių profesinio mokymo įstaigų, kuriose Švietimo ir mokslo ministerija įgyvendina savininko (dalininko) teises ir pareigas, tinklo vystymo 2018–2020 metų bendrojo plano patvirtinimo“ (toliau – Tinklo vystymo</w:t>
                  </w:r>
                  <w:r w:rsidR="004F78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2018</w:t>
                  </w:r>
                  <w:r w:rsidR="003A45B8" w:rsidRPr="004F78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–</w:t>
                  </w:r>
                  <w:r w:rsidR="004F78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2020 m</w:t>
                  </w:r>
                  <w:r w:rsidR="003A45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etų</w:t>
                  </w:r>
                  <w:r w:rsidR="004F78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bendrasis planas),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pateiktą informaciją.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75715380" w14:textId="062D1CF4" w:rsidR="005E0F30" w:rsidRPr="00215BA3" w:rsidRDefault="005E0F30" w:rsidP="008B3E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en-US"/>
                    </w:rPr>
                    <w:lastRenderedPageBreak/>
                    <w:t>40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79D47EB" w14:textId="77777777" w:rsidR="005E0F30" w:rsidRPr="00215BA3" w:rsidRDefault="005E0F30" w:rsidP="008B3E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07DCC3F0" w14:textId="77777777" w:rsidR="005E0F30" w:rsidRPr="00215BA3" w:rsidRDefault="005E0F30" w:rsidP="008B3E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8B3E40" w:rsidRPr="00215BA3" w14:paraId="27E2F57C" w14:textId="77777777" w:rsidTr="000265C2">
              <w:tc>
                <w:tcPr>
                  <w:tcW w:w="3006" w:type="dxa"/>
                  <w:shd w:val="clear" w:color="auto" w:fill="auto"/>
                </w:tcPr>
                <w:p w14:paraId="56C7F1BE" w14:textId="3E6B8AB3" w:rsidR="007E51B4" w:rsidRPr="00215BA3" w:rsidRDefault="005E0F30" w:rsidP="007E51B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3</w:t>
                  </w:r>
                  <w:r w:rsidR="007E51B4" w:rsidRPr="00215B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. </w:t>
                  </w:r>
                  <w:r w:rsidR="00251B20" w:rsidRPr="00215B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Projektai prisideda prie to, kad būtų efektyviau įgyvendinama mokymo įstaigų tinklo ir mokymo išteklių optimizacija.</w:t>
                  </w:r>
                </w:p>
              </w:tc>
              <w:tc>
                <w:tcPr>
                  <w:tcW w:w="6271" w:type="dxa"/>
                  <w:shd w:val="clear" w:color="auto" w:fill="auto"/>
                </w:tcPr>
                <w:p w14:paraId="3AB27AD3" w14:textId="161FF386" w:rsidR="008B3E40" w:rsidRPr="00215BA3" w:rsidRDefault="000B4ECF" w:rsidP="003E6EE1">
                  <w:pPr>
                    <w:widowControl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 </w:t>
                  </w:r>
                  <w:r w:rsidR="007E51B4" w:rsidRPr="00215B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bal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ų</w:t>
                  </w:r>
                  <w:r w:rsidR="007E51B4" w:rsidRPr="00215B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skiriama</w:t>
                  </w:r>
                  <w:r w:rsidR="007E51B4" w:rsidRPr="00215B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projekt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ui</w:t>
                  </w:r>
                  <w:r w:rsidR="007E51B4" w:rsidRPr="00215B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kuri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</w:t>
                  </w:r>
                  <w:r w:rsidR="007E51B4" w:rsidRPr="00215B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pareiškėja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</w:t>
                  </w:r>
                  <w:r w:rsidR="007E51B4" w:rsidRPr="00215B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yra profesinio mokymo įstaig</w:t>
                  </w:r>
                  <w:r w:rsidR="007648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r w:rsidR="007E51B4" w:rsidRPr="00215B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kuri yra įtraukt</w:t>
                  </w:r>
                  <w:r w:rsidR="007648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r w:rsidR="007E51B4" w:rsidRPr="00215B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į </w:t>
                  </w:r>
                  <w:r w:rsidR="006C7448" w:rsidRPr="006C74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Tinkl</w:t>
                  </w:r>
                  <w:r w:rsidR="006C74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 vystymo 2018</w:t>
                  </w:r>
                  <w:r w:rsidR="003A45B8" w:rsidRPr="004F78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–</w:t>
                  </w:r>
                  <w:r w:rsidR="006C74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 m</w:t>
                  </w:r>
                  <w:r w:rsidR="003A45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etų</w:t>
                  </w:r>
                  <w:r w:rsidR="006C74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bendrąjį planą</w:t>
                  </w:r>
                  <w:r w:rsidR="00B968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="007E51B4" w:rsidRPr="00215B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t. y. t</w:t>
                  </w:r>
                  <w:r w:rsidR="007648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r w:rsidR="007E51B4" w:rsidRPr="00215B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profesinio mokymo įstaig</w:t>
                  </w:r>
                  <w:r w:rsidR="007648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r w:rsidR="007E51B4" w:rsidRPr="00215B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kuri</w:t>
                  </w:r>
                  <w:r w:rsidR="007648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ą</w:t>
                  </w:r>
                  <w:r w:rsidR="007E51B4" w:rsidRPr="00215B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numatoma jungti</w:t>
                  </w:r>
                  <w:r w:rsidR="003F570B" w:rsidRPr="00215B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su bendrojo ugdymo mokykl</w:t>
                  </w:r>
                  <w:r w:rsidR="007648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r w:rsidR="003F570B" w:rsidRPr="00215B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6C1ECC83" w14:textId="1909401B" w:rsidR="008B3E40" w:rsidRPr="00215BA3" w:rsidRDefault="00057A66" w:rsidP="008B3E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215BA3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498B1F3" w14:textId="77777777" w:rsidR="008B3E40" w:rsidRPr="00215BA3" w:rsidRDefault="008B3E40" w:rsidP="008B3E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20EFBAEE" w14:textId="77777777" w:rsidR="008B3E40" w:rsidRPr="00215BA3" w:rsidRDefault="008B3E40" w:rsidP="008B3E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D83703" w:rsidRPr="00215BA3" w14:paraId="352C6A58" w14:textId="77777777" w:rsidTr="000265C2">
              <w:tc>
                <w:tcPr>
                  <w:tcW w:w="9277" w:type="dxa"/>
                  <w:gridSpan w:val="2"/>
                  <w:shd w:val="clear" w:color="auto" w:fill="auto"/>
                </w:tcPr>
                <w:p w14:paraId="1AA450DB" w14:textId="77777777" w:rsidR="00D83703" w:rsidRPr="00215BA3" w:rsidRDefault="00D83703" w:rsidP="00D83703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215BA3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Suma</w:t>
                  </w:r>
                  <w:r w:rsidRPr="00215BA3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2CBE9423" w14:textId="77777777" w:rsidR="00D83703" w:rsidRPr="00215BA3" w:rsidRDefault="00D83703" w:rsidP="00D8370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215BA3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645CD7F" w14:textId="77777777" w:rsidR="00D83703" w:rsidRPr="00215BA3" w:rsidRDefault="00D83703" w:rsidP="00D83703">
                  <w:pPr>
                    <w:spacing w:after="0" w:line="240" w:lineRule="auto"/>
                    <w:ind w:left="-57" w:right="-57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BFBFBF"/>
                </w:tcPr>
                <w:p w14:paraId="5EE93F40" w14:textId="77777777" w:rsidR="00D83703" w:rsidRPr="00215BA3" w:rsidRDefault="00D83703" w:rsidP="00D8370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</w:p>
              </w:tc>
            </w:tr>
            <w:tr w:rsidR="00D83703" w:rsidRPr="00215BA3" w14:paraId="226F3162" w14:textId="77777777" w:rsidTr="000265C2">
              <w:tc>
                <w:tcPr>
                  <w:tcW w:w="9277" w:type="dxa"/>
                  <w:gridSpan w:val="2"/>
                  <w:shd w:val="clear" w:color="auto" w:fill="auto"/>
                </w:tcPr>
                <w:p w14:paraId="03F8819F" w14:textId="77777777" w:rsidR="00D83703" w:rsidRPr="00215BA3" w:rsidRDefault="00D83703" w:rsidP="00D83703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15BA3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Minimali privaloma surinkti balų suma: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6F916775" w14:textId="7C3FC02C" w:rsidR="00D83703" w:rsidRPr="00215BA3" w:rsidRDefault="00015104" w:rsidP="00D8370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215BA3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83AE446" w14:textId="77777777" w:rsidR="00D83703" w:rsidRPr="00215BA3" w:rsidRDefault="00D83703" w:rsidP="00D8370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BFBFBF"/>
                </w:tcPr>
                <w:p w14:paraId="46541324" w14:textId="77777777" w:rsidR="00D83703" w:rsidRPr="00215BA3" w:rsidRDefault="00D83703" w:rsidP="00D8370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</w:p>
              </w:tc>
            </w:tr>
          </w:tbl>
          <w:p w14:paraId="1EC64642" w14:textId="77777777" w:rsidR="00655494" w:rsidRPr="00215BA3" w:rsidRDefault="00655494" w:rsidP="0065549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</w:tbl>
    <w:p w14:paraId="15458037" w14:textId="77777777" w:rsidR="00655494" w:rsidRPr="00215BA3" w:rsidRDefault="00655494" w:rsidP="00655494">
      <w:pPr>
        <w:tabs>
          <w:tab w:val="left" w:pos="9639"/>
        </w:tabs>
        <w:spacing w:after="20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548803" w14:textId="14F1D12C" w:rsidR="00655494" w:rsidRPr="00215BA3" w:rsidRDefault="00655494" w:rsidP="003A45B8">
      <w:pPr>
        <w:tabs>
          <w:tab w:val="left" w:pos="9639"/>
          <w:tab w:val="left" w:pos="148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BA3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 w:rsidR="00E55836" w:rsidRPr="00215BA3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="003A45B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657D8">
        <w:rPr>
          <w:rFonts w:ascii="Times New Roman" w:eastAsia="Calibri" w:hAnsi="Times New Roman" w:cs="Times New Roman"/>
          <w:sz w:val="24"/>
          <w:szCs w:val="24"/>
        </w:rPr>
        <w:t>______</w:t>
      </w:r>
      <w:r w:rsidR="00B657D8" w:rsidRPr="00215BA3">
        <w:rPr>
          <w:rFonts w:ascii="Times New Roman" w:eastAsia="Calibri" w:hAnsi="Times New Roman" w:cs="Times New Roman"/>
          <w:sz w:val="24"/>
          <w:szCs w:val="24"/>
        </w:rPr>
        <w:t>___</w:t>
      </w:r>
      <w:r w:rsidR="003A45B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657D8" w:rsidRPr="00215BA3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="00B657D8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3A45B8">
        <w:rPr>
          <w:rFonts w:ascii="Times New Roman" w:eastAsia="Calibri" w:hAnsi="Times New Roman" w:cs="Times New Roman"/>
          <w:sz w:val="24"/>
          <w:szCs w:val="24"/>
        </w:rPr>
        <w:t>________</w:t>
      </w:r>
    </w:p>
    <w:p w14:paraId="24BC9335" w14:textId="1FCCEA81" w:rsidR="00CF0425" w:rsidRPr="00FB7D79" w:rsidRDefault="00655494" w:rsidP="003A45B8">
      <w:pPr>
        <w:tabs>
          <w:tab w:val="center" w:pos="10800"/>
          <w:tab w:val="left" w:pos="148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FB7D79">
        <w:rPr>
          <w:rFonts w:ascii="Times New Roman" w:eastAsia="Calibri" w:hAnsi="Times New Roman" w:cs="Times New Roman"/>
        </w:rPr>
        <w:t xml:space="preserve">(paraiškos vertinimą atlikusios institucijos atsakingo asmens pareigų pavadinimas)      </w:t>
      </w:r>
      <w:r w:rsidR="003A45B8" w:rsidRPr="003A45B8">
        <w:rPr>
          <w:rFonts w:ascii="Times New Roman" w:eastAsia="Calibri" w:hAnsi="Times New Roman" w:cs="Times New Roman"/>
        </w:rPr>
        <w:t xml:space="preserve">              </w:t>
      </w:r>
      <w:r w:rsidRPr="00FB7D79">
        <w:rPr>
          <w:rFonts w:ascii="Times New Roman" w:eastAsia="Calibri" w:hAnsi="Times New Roman" w:cs="Times New Roman"/>
        </w:rPr>
        <w:t xml:space="preserve">(data) </w:t>
      </w:r>
      <w:r w:rsidRPr="00FB7D79">
        <w:rPr>
          <w:rFonts w:ascii="Times New Roman" w:eastAsia="Calibri" w:hAnsi="Times New Roman" w:cs="Times New Roman"/>
        </w:rPr>
        <w:tab/>
        <w:t xml:space="preserve">  </w:t>
      </w:r>
      <w:r w:rsidR="003A45B8" w:rsidRPr="003A45B8">
        <w:rPr>
          <w:rFonts w:ascii="Times New Roman" w:eastAsia="Calibri" w:hAnsi="Times New Roman" w:cs="Times New Roman"/>
        </w:rPr>
        <w:t xml:space="preserve">        </w:t>
      </w:r>
      <w:r w:rsidRPr="00FB7D79">
        <w:rPr>
          <w:rFonts w:ascii="Times New Roman" w:eastAsia="Calibri" w:hAnsi="Times New Roman" w:cs="Times New Roman"/>
        </w:rPr>
        <w:t xml:space="preserve">(vardas ir pavardė, parašas, jei pildoma </w:t>
      </w:r>
      <w:r w:rsidR="003A45B8" w:rsidRPr="00FB7D79">
        <w:rPr>
          <w:rFonts w:ascii="Times New Roman" w:eastAsia="Calibri" w:hAnsi="Times New Roman" w:cs="Times New Roman"/>
        </w:rPr>
        <w:t>popierinė versija)</w:t>
      </w:r>
      <w:r w:rsidR="00B657D8" w:rsidRPr="00FB7D79">
        <w:rPr>
          <w:rFonts w:ascii="Times New Roman" w:eastAsia="Calibri" w:hAnsi="Times New Roman" w:cs="Times New Roman"/>
        </w:rPr>
        <w:t xml:space="preserve">                           </w:t>
      </w:r>
      <w:r w:rsidR="003A45B8" w:rsidRPr="00FB7D79">
        <w:rPr>
          <w:rFonts w:ascii="Times New Roman" w:eastAsia="Calibri" w:hAnsi="Times New Roman" w:cs="Times New Roman"/>
        </w:rPr>
        <w:t xml:space="preserve">                </w:t>
      </w:r>
    </w:p>
    <w:p w14:paraId="4D15A5C8" w14:textId="5A37BEBE" w:rsidR="00BF0A41" w:rsidRPr="00FB7D79" w:rsidRDefault="00BF0A41" w:rsidP="005A0164">
      <w:pPr>
        <w:tabs>
          <w:tab w:val="center" w:pos="10800"/>
        </w:tabs>
        <w:spacing w:after="0" w:line="240" w:lineRule="auto"/>
        <w:ind w:left="425"/>
        <w:jc w:val="both"/>
        <w:rPr>
          <w:rFonts w:ascii="Times New Roman" w:hAnsi="Times New Roman" w:cs="Times New Roman"/>
        </w:rPr>
      </w:pPr>
    </w:p>
    <w:p w14:paraId="279D57D1" w14:textId="5A3EA9C4" w:rsidR="00A9102F" w:rsidRPr="00215BA3" w:rsidRDefault="00BF0A41" w:rsidP="00D82412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BA3"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A9102F" w:rsidRPr="00215BA3" w:rsidSect="007261CD">
      <w:headerReference w:type="default" r:id="rId11"/>
      <w:pgSz w:w="16838" w:h="11906" w:orient="landscape"/>
      <w:pgMar w:top="709" w:right="820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4F4D4" w14:textId="77777777" w:rsidR="005622D2" w:rsidRDefault="005622D2" w:rsidP="007261CD">
      <w:pPr>
        <w:spacing w:after="0" w:line="240" w:lineRule="auto"/>
      </w:pPr>
      <w:r>
        <w:separator/>
      </w:r>
    </w:p>
  </w:endnote>
  <w:endnote w:type="continuationSeparator" w:id="0">
    <w:p w14:paraId="494C157A" w14:textId="77777777" w:rsidR="005622D2" w:rsidRDefault="005622D2" w:rsidP="0072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1B24A" w14:textId="77777777" w:rsidR="005622D2" w:rsidRDefault="005622D2" w:rsidP="007261CD">
      <w:pPr>
        <w:spacing w:after="0" w:line="240" w:lineRule="auto"/>
      </w:pPr>
      <w:r>
        <w:separator/>
      </w:r>
    </w:p>
  </w:footnote>
  <w:footnote w:type="continuationSeparator" w:id="0">
    <w:p w14:paraId="0387871E" w14:textId="77777777" w:rsidR="005622D2" w:rsidRDefault="005622D2" w:rsidP="00726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21978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BEA0484" w14:textId="0060C576" w:rsidR="007261CD" w:rsidRPr="003A45B8" w:rsidRDefault="007261CD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45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45B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A45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7D7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A45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EC5AA45" w14:textId="77777777" w:rsidR="007261CD" w:rsidRDefault="007261C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E83"/>
    <w:multiLevelType w:val="hybridMultilevel"/>
    <w:tmpl w:val="8E5CFA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4B2"/>
    <w:multiLevelType w:val="hybridMultilevel"/>
    <w:tmpl w:val="0358B2BA"/>
    <w:lvl w:ilvl="0" w:tplc="8D963C9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42D26"/>
    <w:multiLevelType w:val="hybridMultilevel"/>
    <w:tmpl w:val="60DA06B6"/>
    <w:lvl w:ilvl="0" w:tplc="B54CA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C02DA"/>
    <w:multiLevelType w:val="hybridMultilevel"/>
    <w:tmpl w:val="73E2032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B738A"/>
    <w:multiLevelType w:val="hybridMultilevel"/>
    <w:tmpl w:val="91BEBC5C"/>
    <w:lvl w:ilvl="0" w:tplc="40C8C6BC">
      <w:start w:val="1"/>
      <w:numFmt w:val="decimal"/>
      <w:lvlText w:val="%1."/>
      <w:lvlJc w:val="left"/>
      <w:pPr>
        <w:ind w:left="0" w:firstLine="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236CA3"/>
    <w:multiLevelType w:val="hybridMultilevel"/>
    <w:tmpl w:val="ED3EF3F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21455"/>
    <w:multiLevelType w:val="hybridMultilevel"/>
    <w:tmpl w:val="B5806BD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72C35"/>
    <w:multiLevelType w:val="hybridMultilevel"/>
    <w:tmpl w:val="2240547A"/>
    <w:lvl w:ilvl="0" w:tplc="5C2EACC2">
      <w:start w:val="1"/>
      <w:numFmt w:val="decimal"/>
      <w:lvlText w:val="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94"/>
    <w:rsid w:val="00015104"/>
    <w:rsid w:val="0002092A"/>
    <w:rsid w:val="00020E24"/>
    <w:rsid w:val="00031DC8"/>
    <w:rsid w:val="0003341A"/>
    <w:rsid w:val="00044997"/>
    <w:rsid w:val="00045272"/>
    <w:rsid w:val="00047BBF"/>
    <w:rsid w:val="0005520F"/>
    <w:rsid w:val="00057A66"/>
    <w:rsid w:val="00072DCB"/>
    <w:rsid w:val="00074713"/>
    <w:rsid w:val="00080BC7"/>
    <w:rsid w:val="00097908"/>
    <w:rsid w:val="000B4ECF"/>
    <w:rsid w:val="000E03DC"/>
    <w:rsid w:val="00112485"/>
    <w:rsid w:val="00125E76"/>
    <w:rsid w:val="0014318B"/>
    <w:rsid w:val="001802CB"/>
    <w:rsid w:val="00180D82"/>
    <w:rsid w:val="00192001"/>
    <w:rsid w:val="001922D2"/>
    <w:rsid w:val="00194A2E"/>
    <w:rsid w:val="001C5305"/>
    <w:rsid w:val="001E6C70"/>
    <w:rsid w:val="00206650"/>
    <w:rsid w:val="0020706D"/>
    <w:rsid w:val="00210C69"/>
    <w:rsid w:val="002118AB"/>
    <w:rsid w:val="00215BA3"/>
    <w:rsid w:val="00221350"/>
    <w:rsid w:val="00222DF9"/>
    <w:rsid w:val="00224663"/>
    <w:rsid w:val="002265A3"/>
    <w:rsid w:val="00231ECA"/>
    <w:rsid w:val="00232F79"/>
    <w:rsid w:val="0023656C"/>
    <w:rsid w:val="002405C7"/>
    <w:rsid w:val="00241FA5"/>
    <w:rsid w:val="00251B20"/>
    <w:rsid w:val="002624C1"/>
    <w:rsid w:val="00266793"/>
    <w:rsid w:val="00266D90"/>
    <w:rsid w:val="00267030"/>
    <w:rsid w:val="00275886"/>
    <w:rsid w:val="00280427"/>
    <w:rsid w:val="00280F25"/>
    <w:rsid w:val="00283790"/>
    <w:rsid w:val="002920C8"/>
    <w:rsid w:val="002B4EAC"/>
    <w:rsid w:val="002B635A"/>
    <w:rsid w:val="002C003F"/>
    <w:rsid w:val="002C43B9"/>
    <w:rsid w:val="002D06D0"/>
    <w:rsid w:val="002E6DC3"/>
    <w:rsid w:val="002E7E9E"/>
    <w:rsid w:val="002F2711"/>
    <w:rsid w:val="002F484A"/>
    <w:rsid w:val="00310427"/>
    <w:rsid w:val="00314559"/>
    <w:rsid w:val="003166E2"/>
    <w:rsid w:val="00334E26"/>
    <w:rsid w:val="003425C4"/>
    <w:rsid w:val="003426D5"/>
    <w:rsid w:val="003500A1"/>
    <w:rsid w:val="003518B1"/>
    <w:rsid w:val="0035243E"/>
    <w:rsid w:val="003568E4"/>
    <w:rsid w:val="00374291"/>
    <w:rsid w:val="00374F3D"/>
    <w:rsid w:val="00385ADC"/>
    <w:rsid w:val="00385BFE"/>
    <w:rsid w:val="00392122"/>
    <w:rsid w:val="00394922"/>
    <w:rsid w:val="003A051B"/>
    <w:rsid w:val="003A45B8"/>
    <w:rsid w:val="003B782C"/>
    <w:rsid w:val="003C0B8F"/>
    <w:rsid w:val="003D7B87"/>
    <w:rsid w:val="003D7BF7"/>
    <w:rsid w:val="003E6EE1"/>
    <w:rsid w:val="003F12D4"/>
    <w:rsid w:val="003F570B"/>
    <w:rsid w:val="003F657C"/>
    <w:rsid w:val="00415424"/>
    <w:rsid w:val="0043380B"/>
    <w:rsid w:val="00452CD1"/>
    <w:rsid w:val="0045337D"/>
    <w:rsid w:val="00453BA8"/>
    <w:rsid w:val="0046590A"/>
    <w:rsid w:val="00467A0E"/>
    <w:rsid w:val="00467D56"/>
    <w:rsid w:val="0047424B"/>
    <w:rsid w:val="0047738C"/>
    <w:rsid w:val="00484138"/>
    <w:rsid w:val="004A6EFC"/>
    <w:rsid w:val="004C4071"/>
    <w:rsid w:val="004C4563"/>
    <w:rsid w:val="004C4741"/>
    <w:rsid w:val="004E3EEC"/>
    <w:rsid w:val="004F5660"/>
    <w:rsid w:val="004F7846"/>
    <w:rsid w:val="00504975"/>
    <w:rsid w:val="00516775"/>
    <w:rsid w:val="00517A50"/>
    <w:rsid w:val="0052181C"/>
    <w:rsid w:val="005327DE"/>
    <w:rsid w:val="00547F96"/>
    <w:rsid w:val="005539A1"/>
    <w:rsid w:val="005622D2"/>
    <w:rsid w:val="00564174"/>
    <w:rsid w:val="00575973"/>
    <w:rsid w:val="005A0164"/>
    <w:rsid w:val="005A09AF"/>
    <w:rsid w:val="005A6358"/>
    <w:rsid w:val="005B60D4"/>
    <w:rsid w:val="005D57CB"/>
    <w:rsid w:val="005E0188"/>
    <w:rsid w:val="005E0F30"/>
    <w:rsid w:val="005E643D"/>
    <w:rsid w:val="0060283C"/>
    <w:rsid w:val="0062083D"/>
    <w:rsid w:val="00624D9E"/>
    <w:rsid w:val="0063721C"/>
    <w:rsid w:val="00651365"/>
    <w:rsid w:val="00655494"/>
    <w:rsid w:val="00673BAB"/>
    <w:rsid w:val="00685E47"/>
    <w:rsid w:val="00687E76"/>
    <w:rsid w:val="006A2E0E"/>
    <w:rsid w:val="006C18A5"/>
    <w:rsid w:val="006C7448"/>
    <w:rsid w:val="006C7CA2"/>
    <w:rsid w:val="006D2F37"/>
    <w:rsid w:val="006E3E19"/>
    <w:rsid w:val="006E7583"/>
    <w:rsid w:val="006F4D0D"/>
    <w:rsid w:val="006F61F0"/>
    <w:rsid w:val="00703E63"/>
    <w:rsid w:val="00723D32"/>
    <w:rsid w:val="00724B27"/>
    <w:rsid w:val="007261CD"/>
    <w:rsid w:val="00726872"/>
    <w:rsid w:val="007402BA"/>
    <w:rsid w:val="00743077"/>
    <w:rsid w:val="007546AD"/>
    <w:rsid w:val="007578F1"/>
    <w:rsid w:val="00761E15"/>
    <w:rsid w:val="0076482B"/>
    <w:rsid w:val="00771F76"/>
    <w:rsid w:val="00774413"/>
    <w:rsid w:val="00781B70"/>
    <w:rsid w:val="0078569C"/>
    <w:rsid w:val="007878AC"/>
    <w:rsid w:val="0079123B"/>
    <w:rsid w:val="00791874"/>
    <w:rsid w:val="007948C0"/>
    <w:rsid w:val="007A0149"/>
    <w:rsid w:val="007B3B43"/>
    <w:rsid w:val="007C5F9F"/>
    <w:rsid w:val="007C6250"/>
    <w:rsid w:val="007D1ABE"/>
    <w:rsid w:val="007E2EE5"/>
    <w:rsid w:val="007E51B4"/>
    <w:rsid w:val="007E7B60"/>
    <w:rsid w:val="007F1E54"/>
    <w:rsid w:val="00835B9C"/>
    <w:rsid w:val="008360BC"/>
    <w:rsid w:val="00865FC1"/>
    <w:rsid w:val="0088239F"/>
    <w:rsid w:val="00882806"/>
    <w:rsid w:val="008872F8"/>
    <w:rsid w:val="00896E6B"/>
    <w:rsid w:val="008A2C7B"/>
    <w:rsid w:val="008A41A4"/>
    <w:rsid w:val="008A7CBD"/>
    <w:rsid w:val="008B3E40"/>
    <w:rsid w:val="008C6D5A"/>
    <w:rsid w:val="008C6FE6"/>
    <w:rsid w:val="008D39E0"/>
    <w:rsid w:val="008D4BED"/>
    <w:rsid w:val="009126C1"/>
    <w:rsid w:val="00915F8B"/>
    <w:rsid w:val="00915FF5"/>
    <w:rsid w:val="00916F0B"/>
    <w:rsid w:val="009201EE"/>
    <w:rsid w:val="009250CD"/>
    <w:rsid w:val="00931B2B"/>
    <w:rsid w:val="00940996"/>
    <w:rsid w:val="0094798D"/>
    <w:rsid w:val="00950FC0"/>
    <w:rsid w:val="0095107D"/>
    <w:rsid w:val="00952E6F"/>
    <w:rsid w:val="00960178"/>
    <w:rsid w:val="0096326D"/>
    <w:rsid w:val="00963D59"/>
    <w:rsid w:val="009672BB"/>
    <w:rsid w:val="00972E7F"/>
    <w:rsid w:val="00974C24"/>
    <w:rsid w:val="00977E8B"/>
    <w:rsid w:val="0098051A"/>
    <w:rsid w:val="00983DF5"/>
    <w:rsid w:val="009B1A1B"/>
    <w:rsid w:val="009B332E"/>
    <w:rsid w:val="009D41AF"/>
    <w:rsid w:val="009D6053"/>
    <w:rsid w:val="009E4C4E"/>
    <w:rsid w:val="009E4D09"/>
    <w:rsid w:val="009E5CD6"/>
    <w:rsid w:val="009E73C5"/>
    <w:rsid w:val="009F7DB6"/>
    <w:rsid w:val="00A0000B"/>
    <w:rsid w:val="00A06D84"/>
    <w:rsid w:val="00A17BFA"/>
    <w:rsid w:val="00A45A65"/>
    <w:rsid w:val="00A77DAE"/>
    <w:rsid w:val="00A80A7F"/>
    <w:rsid w:val="00A826E2"/>
    <w:rsid w:val="00A8523E"/>
    <w:rsid w:val="00A9102F"/>
    <w:rsid w:val="00AA59A6"/>
    <w:rsid w:val="00AB66FF"/>
    <w:rsid w:val="00AC1F8D"/>
    <w:rsid w:val="00AE23A9"/>
    <w:rsid w:val="00AE38DD"/>
    <w:rsid w:val="00AF06F3"/>
    <w:rsid w:val="00B56845"/>
    <w:rsid w:val="00B5684C"/>
    <w:rsid w:val="00B657D8"/>
    <w:rsid w:val="00B95AB6"/>
    <w:rsid w:val="00B96820"/>
    <w:rsid w:val="00B9687D"/>
    <w:rsid w:val="00BA6DB6"/>
    <w:rsid w:val="00BD58D6"/>
    <w:rsid w:val="00BE201B"/>
    <w:rsid w:val="00BE51DF"/>
    <w:rsid w:val="00BE680D"/>
    <w:rsid w:val="00BF0A41"/>
    <w:rsid w:val="00BF1E7E"/>
    <w:rsid w:val="00BF7442"/>
    <w:rsid w:val="00C2190C"/>
    <w:rsid w:val="00C23F31"/>
    <w:rsid w:val="00C408C8"/>
    <w:rsid w:val="00C45C9E"/>
    <w:rsid w:val="00C479B0"/>
    <w:rsid w:val="00CA032B"/>
    <w:rsid w:val="00CA3B47"/>
    <w:rsid w:val="00CB2302"/>
    <w:rsid w:val="00CB3E7F"/>
    <w:rsid w:val="00CB4442"/>
    <w:rsid w:val="00CB7170"/>
    <w:rsid w:val="00CC0B76"/>
    <w:rsid w:val="00CD24E0"/>
    <w:rsid w:val="00CE73E7"/>
    <w:rsid w:val="00CF0425"/>
    <w:rsid w:val="00CF05ED"/>
    <w:rsid w:val="00CF165E"/>
    <w:rsid w:val="00CF642E"/>
    <w:rsid w:val="00CF7EB2"/>
    <w:rsid w:val="00D05767"/>
    <w:rsid w:val="00D0605B"/>
    <w:rsid w:val="00D157A5"/>
    <w:rsid w:val="00D43D0C"/>
    <w:rsid w:val="00D635A1"/>
    <w:rsid w:val="00D725C3"/>
    <w:rsid w:val="00D81364"/>
    <w:rsid w:val="00D82412"/>
    <w:rsid w:val="00D83703"/>
    <w:rsid w:val="00D90BDE"/>
    <w:rsid w:val="00DB45D7"/>
    <w:rsid w:val="00DC481B"/>
    <w:rsid w:val="00DD7827"/>
    <w:rsid w:val="00DF28E2"/>
    <w:rsid w:val="00E02EA5"/>
    <w:rsid w:val="00E04B0B"/>
    <w:rsid w:val="00E164B0"/>
    <w:rsid w:val="00E37655"/>
    <w:rsid w:val="00E455EC"/>
    <w:rsid w:val="00E47AFE"/>
    <w:rsid w:val="00E533DF"/>
    <w:rsid w:val="00E55836"/>
    <w:rsid w:val="00E6185A"/>
    <w:rsid w:val="00E62640"/>
    <w:rsid w:val="00E65F7C"/>
    <w:rsid w:val="00E677DC"/>
    <w:rsid w:val="00E75124"/>
    <w:rsid w:val="00E77A1C"/>
    <w:rsid w:val="00E80195"/>
    <w:rsid w:val="00E8251B"/>
    <w:rsid w:val="00E85A24"/>
    <w:rsid w:val="00E90FCD"/>
    <w:rsid w:val="00EB1AEE"/>
    <w:rsid w:val="00EC79EB"/>
    <w:rsid w:val="00EE728B"/>
    <w:rsid w:val="00EF4A7A"/>
    <w:rsid w:val="00F02E4D"/>
    <w:rsid w:val="00F03AC4"/>
    <w:rsid w:val="00F16157"/>
    <w:rsid w:val="00F16364"/>
    <w:rsid w:val="00F27F90"/>
    <w:rsid w:val="00F33692"/>
    <w:rsid w:val="00F4002C"/>
    <w:rsid w:val="00F40F21"/>
    <w:rsid w:val="00F43B81"/>
    <w:rsid w:val="00F55213"/>
    <w:rsid w:val="00F60E4C"/>
    <w:rsid w:val="00F64E99"/>
    <w:rsid w:val="00F70B58"/>
    <w:rsid w:val="00F7162E"/>
    <w:rsid w:val="00F74835"/>
    <w:rsid w:val="00F82BE9"/>
    <w:rsid w:val="00F95EB3"/>
    <w:rsid w:val="00FB7D79"/>
    <w:rsid w:val="00FD65D2"/>
    <w:rsid w:val="00FF1C4D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E8DC"/>
  <w15:chartTrackingRefBased/>
  <w15:docId w15:val="{2E1C86B3-F5D2-4E8A-89DE-1560C901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48413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48413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48413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8413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84138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84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84138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9201E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261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261CD"/>
  </w:style>
  <w:style w:type="paragraph" w:styleId="Porat">
    <w:name w:val="footer"/>
    <w:basedOn w:val="prastasis"/>
    <w:link w:val="PoratDiagrama"/>
    <w:uiPriority w:val="99"/>
    <w:unhideWhenUsed/>
    <w:rsid w:val="007261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26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8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C9CFB-D6B9-464D-A258-2866F9B3B5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B918C7-3B42-4E2F-8EA4-B7961EC5C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0287F-1BE3-4761-AD5B-E733704A062A}"/>
</file>

<file path=customXml/itemProps4.xml><?xml version="1.0" encoding="utf-8"?>
<ds:datastoreItem xmlns:ds="http://schemas.openxmlformats.org/officeDocument/2006/customXml" ds:itemID="{619419BC-2E00-424B-A2BD-7D0D7583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3154</Words>
  <Characters>1798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c14a6a20-a914-4461-bfe9-021c1e7728a7</vt:lpstr>
      <vt:lpstr>c14a6a20-a914-4461-bfe9-021c1e7728a7</vt:lpstr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f8bb5393-534f-48e6-9f7f-12faa145bbe1</dc:title>
  <dc:subject/>
  <dc:creator>Gaidamavičienė Agnė</dc:creator>
  <cp:keywords/>
  <dc:description/>
  <cp:lastModifiedBy>Gervienė Giedrė</cp:lastModifiedBy>
  <cp:revision>3</cp:revision>
  <cp:lastPrinted>2018-08-09T07:22:00Z</cp:lastPrinted>
  <dcterms:created xsi:type="dcterms:W3CDTF">2019-03-29T11:33:00Z</dcterms:created>
  <dcterms:modified xsi:type="dcterms:W3CDTF">2019-04-08T11:24:00Z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