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left" w:pos="3122"/>
        </w:tabs>
        <w:ind w:left="5529" w:right="-217"/>
        <w:rPr>
          <w:szCs w:val="24"/>
          <w:lang w:eastAsia="lt-LT"/>
        </w:rPr>
      </w:pPr>
      <w:r>
        <w:rPr>
          <w:szCs w:val="24"/>
          <w:lang w:eastAsia="lt-LT"/>
        </w:rPr>
        <w:t>Viešojo sektoriaus subjektų finansinių ataskaitų rinkinių konsolidavimo metodikos</w:t>
      </w:r>
    </w:p>
    <w:p>
      <w:pPr>
        <w:ind w:left="5954" w:right="-217" w:hanging="425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 xml:space="preserve"> priedas</w:t>
      </w:r>
    </w:p>
    <w:p>
      <w:pPr>
        <w:rPr>
          <w:rFonts w:ascii="Calibri" w:eastAsia="Calibri" w:hAnsi="Calibri"/>
          <w:szCs w:val="24"/>
        </w:rPr>
      </w:pPr>
    </w:p>
    <w:p>
      <w:pPr>
        <w:jc w:val="center"/>
        <w:rPr>
          <w:rFonts w:ascii="Calibri" w:eastAsia="Calibri" w:hAnsi="Calibri"/>
          <w:szCs w:val="24"/>
        </w:rPr>
      </w:pPr>
      <w:r>
        <w:rPr>
          <w:rFonts w:eastAsia="Calibri"/>
          <w:b/>
          <w:szCs w:val="24"/>
        </w:rPr>
        <w:t>AIŠKINAMOJO RAŠTO PASTABŲ GRUPIŲ SĄRAŠAS</w:t>
      </w:r>
    </w:p>
    <w:p>
      <w:pPr>
        <w:rPr>
          <w:rFonts w:ascii="Calibri" w:eastAsia="Calibri" w:hAnsi="Calibr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39"/>
        <w:gridCol w:w="8214"/>
      </w:tblGrid>
      <w:tr>
        <w:trPr>
          <w:tblHeader/>
          <w:jc w:val="center"/>
        </w:trPr>
        <w:tc>
          <w:tcPr>
            <w:tcW w:w="0" w:type="auto"/>
            <w:shd w:val="clear" w:color="auto" w:fill="auto"/>
          </w:tcPr>
          <w:p>
            <w:pPr>
              <w:ind w:left="34"/>
              <w:jc w:val="center"/>
              <w:rPr>
                <w:rFonts w:eastAsia="Times"/>
                <w:b/>
                <w:sz w:val="20"/>
              </w:rPr>
            </w:pPr>
            <w:r>
              <w:rPr>
                <w:rFonts w:eastAsia="Times"/>
                <w:b/>
                <w:sz w:val="20"/>
              </w:rPr>
              <w:t>Pastabos Nr.</w:t>
            </w:r>
          </w:p>
        </w:tc>
        <w:tc>
          <w:tcPr>
            <w:tcW w:w="8214" w:type="dxa"/>
            <w:shd w:val="clear" w:color="auto" w:fill="auto"/>
          </w:tcPr>
          <w:p>
            <w:pPr>
              <w:ind w:left="34"/>
              <w:jc w:val="center"/>
              <w:rPr>
                <w:rFonts w:eastAsia="Times"/>
                <w:b/>
                <w:sz w:val="20"/>
              </w:rPr>
            </w:pPr>
            <w:r>
              <w:rPr>
                <w:rFonts w:eastAsia="Times"/>
                <w:b/>
                <w:sz w:val="20"/>
              </w:rPr>
              <w:t>Pastabos pavadinimas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P01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Apskaitos politika ir apskaitinių įverčių keitimas, klaidų taisymas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P02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Informacija pagal segmentus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P03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Nematerialusis turtas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P04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Ilgalaikis materialusis turtas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P05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Finansinis turtas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P06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Turtas, atsirandantis iš nuomos, finansinės nuomos (lizingo) ir kitų turto perdavimo sutarčių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P07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Biologinis turtas ir mineraliniai ištekliai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P08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Atsargos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P09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Išankstiniai apmokėjimai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P10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Gautinos sumos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tabs>
                <w:tab w:val="right" w:pos="2727"/>
              </w:tabs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P11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Pinigai ir pinigų ekvivalentai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P12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Finansavimo sumos ir parama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P13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Finansiniai įsipareigojimai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P14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Įsipareigojimai, atsirandantys iš nuomos, finansinės nuomos (lizingo) ir kitų turto perdavimo sutarčių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P15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Atidėjiniai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P16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Suteiktos garantijos dėl paskolų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P17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Trumpalaikės mokėtinos sumos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P18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Grynasis turtas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P19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Mokesčių pajamos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P20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Socialinių įmokų pajamos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P21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Kitos pagrindinės veiklos pajamos ir kitos pajamos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P22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Pagrindinės veiklos sąnaudos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P23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Finansinės ir investicinės veiklos pajamos ir sąnaudos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P24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Finansinės rizikos valdymas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P25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Neapibrėžtieji įsipareigojimai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P26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Poataskaitiniai įvykiai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P27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Informacija apie kontroliuojamus ne viešojo sektoriaus subjektus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P28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Jungimai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left="34"/>
              <w:jc w:val="center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P29</w:t>
            </w:r>
          </w:p>
        </w:tc>
        <w:tc>
          <w:tcPr>
            <w:tcW w:w="8214" w:type="dxa"/>
          </w:tcPr>
          <w:p>
            <w:pPr>
              <w:ind w:left="34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Perėjimas nuo anksčiau taikytos apskaitos politikos prie viešojo sektoriaus apskaitos ir finansinės atskaitomybės standartų</w:t>
            </w:r>
          </w:p>
        </w:tc>
      </w:tr>
    </w:tbl>
    <w:p/>
    <w:p>
      <w:pPr>
        <w:spacing w:line="276" w:lineRule="auto"/>
        <w:jc w:val="center"/>
        <w:rPr>
          <w:rFonts w:eastAsia="Calibri"/>
          <w:sz w:val="22"/>
          <w:szCs w:val="22"/>
        </w:rPr>
      </w:pPr>
      <w:r>
        <w:rPr>
          <w:rFonts w:eastAsia="Calibri"/>
          <w:szCs w:val="22"/>
        </w:rPr>
        <w:t>_____________________________</w:t>
      </w:r>
    </w:p>
    <w:sectPr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65454-8C67-4521-8C48-61DA88389B23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1263</Characters>
  <Application>Microsoft Office Word</Application>
  <DocSecurity>4</DocSecurity>
  <Lines>74</Lines>
  <Paragraphs>71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2023-01-25T13:28:00Z</dcterms:created>
  <dc:creator>Raimonda Gacevičienė</dc:creator>
  <lastModifiedBy>adlibuser</lastModifiedBy>
  <lastPrinted>2018-12-27T09:57:00Z</lastPrinted>
  <dcterms:modified xsi:type="dcterms:W3CDTF">2023-01-25T13:28:00Z</dcterms:modified>
  <revision>2</revision>
</coreProperties>
</file>