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left" w:pos="567"/>
        </w:tabs>
        <w:ind w:left="5103"/>
        <w:rPr>
          <w:szCs w:val="24"/>
          <w:lang w:eastAsia="lt-LT"/>
        </w:rPr>
      </w:pPr>
      <w:r>
        <w:rPr>
          <w:szCs w:val="24"/>
          <w:lang w:eastAsia="lt-LT"/>
        </w:rPr>
        <w:t>Viešojo sektoriaus subjektų finansinių ataskaitų rinkinių konsolidavimo metodikos</w:t>
      </w:r>
    </w:p>
    <w:p>
      <w:pPr>
        <w:ind w:left="5103"/>
        <w:rPr>
          <w:sz w:val="20"/>
          <w:lang w:eastAsia="lt-LT"/>
        </w:rPr>
      </w:pPr>
      <w:r>
        <w:rPr>
          <w:szCs w:val="24"/>
          <w:lang w:eastAsia="lt-LT"/>
        </w:rPr>
        <w:t>15 priedas</w:t>
      </w:r>
    </w:p>
    <w:p>
      <w:pPr>
        <w:ind w:left="5103"/>
        <w:rPr>
          <w:sz w:val="20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VIEŠOJO SEKTORIAUS SUBJEKTŲ, KURIE PRISIJUNGIA KITĄ VIEŠOJO SEKTORIAUS SUBJEKTĄ, DUOMENŲ, PERIMTŲ IŠ PRIJUNGIMO AR IŠDALIJIMO BŪDU REORGANIZUOTO SUBJEKTO, ĮVEDIMO FORMŲ SĄRAŠAI</w:t>
      </w:r>
    </w:p>
    <w:p>
      <w:pPr>
        <w:ind w:left="6480"/>
        <w:rPr>
          <w:sz w:val="20"/>
          <w:lang w:eastAsia="lt-LT"/>
        </w:rPr>
      </w:pPr>
    </w:p>
    <w:p>
      <w:pPr>
        <w:tabs>
          <w:tab w:val="left" w:pos="426"/>
        </w:tabs>
        <w:rPr>
          <w:b/>
          <w:sz w:val="20"/>
          <w:lang w:eastAsia="lt-LT"/>
        </w:rPr>
      </w:pPr>
      <w:r>
        <w:rPr>
          <w:b/>
          <w:sz w:val="20"/>
          <w:lang w:eastAsia="lt-LT"/>
        </w:rPr>
        <w:t>1</w:t>
      </w:r>
      <w:r>
        <w:rPr>
          <w:b/>
          <w:sz w:val="20"/>
          <w:lang w:eastAsia="lt-LT"/>
        </w:rPr>
        <w:t xml:space="preserve"> lentelė .Viešojo sektoriaus subjektų, kurie prisijungia kitą viešojo sektoriaus subjektą, eliminavimo informacijos</w:t>
      </w:r>
      <w:r>
        <w:rPr>
          <w:szCs w:val="24"/>
          <w:lang w:eastAsia="lt-LT"/>
        </w:rPr>
        <w:t xml:space="preserve"> </w:t>
      </w:r>
      <w:r>
        <w:rPr>
          <w:b/>
          <w:sz w:val="20"/>
          <w:lang w:eastAsia="lt-LT"/>
        </w:rPr>
        <w:t>duomenų, perimtų iš reorganizuoto prijungimo arba išdalijimo būdu subjekto, įvedimo formų sąrašas</w:t>
      </w:r>
    </w:p>
    <w:p>
      <w:pPr>
        <w:rPr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6950"/>
      </w:tblGrid>
      <w:tr>
        <w:trPr>
          <w:trHeight w:val="915"/>
        </w:trPr>
        <w:tc>
          <w:tcPr>
            <w:tcW w:w="675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Nr.</w:t>
            </w:r>
          </w:p>
        </w:tc>
        <w:tc>
          <w:tcPr>
            <w:tcW w:w="1843" w:type="dxa"/>
            <w:vAlign w:val="center"/>
          </w:tcPr>
          <w:p>
            <w:pPr>
              <w:ind w:hanging="2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Duomenų įvedimo formos kodas</w:t>
            </w:r>
          </w:p>
        </w:tc>
        <w:tc>
          <w:tcPr>
            <w:tcW w:w="6950" w:type="dxa"/>
            <w:vAlign w:val="center"/>
          </w:tcPr>
          <w:p>
            <w:pPr>
              <w:ind w:firstLine="4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Eliminavimo informacijos duomenų įvedimo formos pavadinimas</w:t>
            </w:r>
          </w:p>
        </w:tc>
      </w:tr>
      <w:tr>
        <w:trPr>
          <w:trHeight w:val="420"/>
        </w:trPr>
        <w:tc>
          <w:tcPr>
            <w:tcW w:w="946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bCs/>
                <w:iCs/>
                <w:sz w:val="20"/>
              </w:rPr>
              <w:t>Tik reorganizavimo prijungimo ar išdalijimo būdu atvejais naudojamos formos</w:t>
            </w:r>
          </w:p>
        </w:tc>
      </w:tr>
      <w:tr>
        <w:trPr>
          <w:trHeight w:val="195"/>
        </w:trPr>
        <w:tc>
          <w:tcPr>
            <w:tcW w:w="946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Calibri"/>
                <w:bCs/>
                <w:i/>
                <w:iCs/>
                <w:sz w:val="20"/>
              </w:rPr>
            </w:pPr>
            <w:r>
              <w:rPr>
                <w:rFonts w:eastAsia="Times"/>
                <w:i/>
                <w:sz w:val="20"/>
              </w:rPr>
              <w:t>Tarpusavio operacijų, derinamų su kitais viešojo sektoriaus subjektais, duomenų įvedimo formos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  <w:tab/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D-E08-A-ZF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Gautinų sumų pagal finansinės nuomos (lizingo) sutartis eliminavimo informacija (jungimai)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  <w:tab/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D-E09-A-ZF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Suteiktų paskolų eliminavimo informacija (jungimai)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D-E09-B-ZF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Gautų paskolų eliminavimo informacija (jungimai)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D-E10-C-ZF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Gautų vekselių eliminavimo informacija (jungimai)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D-E10-D-ZF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Išleistų vekselių eliminavimo informacija (jungimai)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D-E11-A-ZF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Gautų išankstinių mokėjimų eliminavimo informacija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D-E11-I-ZF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Išankstinių mokesčių eliminavimo informacija ataskaitinio laikotarpio pabaigoje 1 (jungimai)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D-E11-G-ZF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Išankstinių mokėjimų eliminavimo informacija (jungimai) 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val="en-US" w:eastAsia="lt-LT"/>
              </w:rPr>
            </w:pPr>
            <w:r>
              <w:rPr>
                <w:sz w:val="20"/>
                <w:lang w:val="en-US" w:eastAsia="lt-LT"/>
              </w:rPr>
              <w:t>9.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D-E13-G-ZF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Finansavimo sumų (pagal gautinas ir gautas finansavimo sumas) eliminavimo informacija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D-E13-N-ZF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Finansavimo sumų (pagal paskirtį) eliminavimo informacija ataskaitinio laikotarpio pabaigoje (jungimai)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D-E15-A-ZF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Per vienus metus gautinų sumų eliminavimo informacija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D-E15-B-ZF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Per vienus metus gautinų sumų už turto naudojimą, parduotas prekes, turtą, paslaugas eliminavimo informacija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D-E15-E-ZF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Informacijos apie kai kurias trumpalaikes mokėtinas sumas eliminavimo informacija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D-E15-G-ZF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Kitų mokėtinų sumų eliminavimo informacija (jungimai)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D-E15-I-ZF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Gautinų mokesčių eliminavimo informacija ataskaitinio laikotarpio pabaigoje 1 (jungimai)</w:t>
            </w:r>
          </w:p>
        </w:tc>
      </w:tr>
      <w:tr>
        <w:trPr>
          <w:trHeight w:val="254"/>
        </w:trPr>
        <w:tc>
          <w:tcPr>
            <w:tcW w:w="946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Times"/>
                <w:color w:val="000000"/>
                <w:sz w:val="20"/>
                <w:lang w:val="en-US"/>
              </w:rPr>
            </w:pPr>
            <w:r>
              <w:rPr>
                <w:rFonts w:eastAsia="Times"/>
                <w:i/>
                <w:sz w:val="20"/>
              </w:rPr>
              <w:t>Nederinamų operacijų informacijos duomenų įvedimo formos</w:t>
            </w:r>
          </w:p>
        </w:tc>
      </w:tr>
      <w:tr>
        <w:trPr>
          <w:trHeight w:val="63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D-E38-H-ZF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Gautinų sumų, išskyrus gautinų mokesčių ir socialinių įmokų, nuvertėjimo eliminavimo informacija ataskaitinio laikotarpio pabaigoje (jungimai)</w:t>
            </w:r>
          </w:p>
        </w:tc>
      </w:tr>
      <w:tr>
        <w:trPr>
          <w:trHeight w:val="630"/>
        </w:trPr>
        <w:tc>
          <w:tcPr>
            <w:tcW w:w="946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iCs/>
                <w:sz w:val="20"/>
              </w:rPr>
            </w:pPr>
            <w:r>
              <w:rPr>
                <w:rFonts w:eastAsia="Calibri"/>
                <w:b/>
                <w:bCs/>
                <w:iCs/>
                <w:sz w:val="20"/>
              </w:rPr>
              <w:t>Duomenų įvedimo formos, kuriose pateikiama informacija ir reorganizavimo prijungimo ar išdalijimo būdu atvejais „Jungimų“ stulpelyje (eilutėje)</w:t>
            </w:r>
          </w:p>
        </w:tc>
      </w:tr>
      <w:tr>
        <w:trPr>
          <w:trHeight w:val="280"/>
        </w:trPr>
        <w:tc>
          <w:tcPr>
            <w:tcW w:w="946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Calibri"/>
                <w:bCs/>
                <w:i/>
                <w:iCs/>
                <w:sz w:val="20"/>
              </w:rPr>
            </w:pPr>
            <w:r>
              <w:rPr>
                <w:rFonts w:eastAsia="Times"/>
                <w:i/>
                <w:sz w:val="20"/>
              </w:rPr>
              <w:t>Tarpusavio operacijų, derinamų su kitais viešojo sektoriaus subjektais, duomenų įvedimo formos</w:t>
            </w:r>
          </w:p>
        </w:tc>
      </w:tr>
      <w:tr>
        <w:trPr>
          <w:trHeight w:val="405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D-E08-B-ZF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Įsipareigojimų pagal finansinės nuomos (lizingo) sutartis eliminavimo informacija </w:t>
            </w:r>
          </w:p>
        </w:tc>
      </w:tr>
      <w:tr>
        <w:trPr>
          <w:trHeight w:val="416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D-E10-F-ZF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Kitų skolinių įsipareigojimų eliminavimo informacija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D-E11-F-ZF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Socialinių įmokų, gautų avansu, sumų eliminavimo informacija</w:t>
            </w:r>
          </w:p>
        </w:tc>
      </w:tr>
      <w:tr>
        <w:trPr>
          <w:trHeight w:val="412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D-E13-M-ZF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Išankstinių apmokėjimų viešojo sektoriaus subjektų  pavedimams vykdyti eliminavimo informacija</w:t>
            </w:r>
          </w:p>
        </w:tc>
      </w:tr>
      <w:tr>
        <w:trPr>
          <w:trHeight w:val="404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D-E15-C-ZF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Gautinų socialinių įmokų (įsigijimo savikaina) eliminavimo informacija</w:t>
            </w:r>
          </w:p>
        </w:tc>
      </w:tr>
      <w:tr>
        <w:trPr>
          <w:trHeight w:val="425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D-E15-D-ZF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Grąžintinų socialinių įmokų ir jų permokų eliminavimo informacija</w:t>
            </w:r>
          </w:p>
        </w:tc>
      </w:tr>
      <w:tr>
        <w:trPr>
          <w:trHeight w:val="416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D-E15-F-ZF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Kitų įsipareigojimų eliminavimo informacija</w:t>
            </w:r>
          </w:p>
        </w:tc>
      </w:tr>
      <w:tr>
        <w:trPr>
          <w:trHeight w:val="337"/>
        </w:trPr>
        <w:tc>
          <w:tcPr>
            <w:tcW w:w="946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Nederinamų operacijų informacijos duomenų įvedimo formos</w:t>
            </w:r>
          </w:p>
        </w:tc>
      </w:tr>
      <w:tr>
        <w:trPr>
          <w:trHeight w:val="63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D-E38-A-ZF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Išankstinių apmokėjimų už nematerialųjį ir ilgalaikį materialųjį turtą nuvertėjimo eliminavimo informacija</w:t>
            </w:r>
          </w:p>
        </w:tc>
      </w:tr>
      <w:tr>
        <w:trPr>
          <w:trHeight w:val="63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D-E38-C-ZF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Išankstinių mokėjimų už finansinį turtą ir išankstinių apmokėjimų (išskyrus ilgalaikį materialųjį turtą, nematerialųjį turtą, biologinį turtą) eliminavimo informacija</w:t>
            </w:r>
          </w:p>
        </w:tc>
      </w:tr>
      <w:tr>
        <w:trPr>
          <w:trHeight w:val="63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26.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D-E38-F-ZF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Gautinų mokesčių sumų nuvertėjimo eliminavimo informacija ataskaitinio laikotarpio pabaigoje</w:t>
            </w:r>
          </w:p>
        </w:tc>
      </w:tr>
      <w:tr>
        <w:trPr>
          <w:trHeight w:val="63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D-E38-G-ZF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Gautinų socialinių įmokų sumų nuvertėjimo eliminavimo informacija ataskaitinio laikotarpio pabaigoje</w:t>
            </w:r>
          </w:p>
        </w:tc>
      </w:tr>
      <w:tr>
        <w:trPr>
          <w:trHeight w:val="421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D-E39-A-ZF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Atidėjinių eliminavimo informacija</w:t>
            </w:r>
          </w:p>
        </w:tc>
      </w:tr>
      <w:tr>
        <w:trPr>
          <w:trHeight w:val="427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D-E40-F-ZF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Išleistų obligacijų, apskaitomų tikrąja verte, eliminavimo informacija</w:t>
            </w:r>
          </w:p>
        </w:tc>
      </w:tr>
      <w:tr>
        <w:trPr>
          <w:trHeight w:val="63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D-E40-H-ZF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Kitų ilgalaikių gautinų sumų įsigijimo savikainos ir balansinės vertės skirtumo eliminavimo informacija</w:t>
            </w:r>
          </w:p>
        </w:tc>
      </w:tr>
      <w:tr>
        <w:trPr>
          <w:trHeight w:val="329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D-E59-A-ZF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Atidėjinių pagal jų paskirtį eliminavimo informacija</w:t>
            </w:r>
          </w:p>
        </w:tc>
      </w:tr>
      <w:tr>
        <w:trPr>
          <w:trHeight w:val="420"/>
        </w:trPr>
        <w:tc>
          <w:tcPr>
            <w:tcW w:w="675" w:type="dxa"/>
            <w:noWrap/>
            <w:vAlign w:val="center"/>
          </w:tcPr>
          <w:p>
            <w:pPr>
              <w:tabs>
                <w:tab w:val="left" w:pos="284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32.</w:t>
              <w:tab/>
            </w:r>
          </w:p>
        </w:tc>
        <w:tc>
          <w:tcPr>
            <w:tcW w:w="1843" w:type="dxa"/>
            <w:noWrap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D-E60-A-ZF</w:t>
            </w:r>
          </w:p>
        </w:tc>
        <w:tc>
          <w:tcPr>
            <w:tcW w:w="6950" w:type="dxa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Suteiktų garantijų dėl paskolų eliminavimo informacija</w:t>
            </w:r>
          </w:p>
        </w:tc>
      </w:tr>
    </w:tbl>
    <w:p>
      <w:pPr>
        <w:ind w:firstLine="540"/>
        <w:jc w:val="center"/>
        <w:rPr>
          <w:sz w:val="20"/>
          <w:lang w:eastAsia="lt-LT"/>
        </w:rPr>
      </w:pPr>
    </w:p>
    <w:p>
      <w:pPr>
        <w:tabs>
          <w:tab w:val="left" w:pos="426"/>
        </w:tabs>
        <w:jc w:val="both"/>
        <w:rPr>
          <w:sz w:val="20"/>
          <w:lang w:eastAsia="lt-LT"/>
        </w:rPr>
      </w:pPr>
      <w:r>
        <w:rPr>
          <w:b/>
          <w:sz w:val="20"/>
          <w:lang w:eastAsia="lt-LT"/>
        </w:rPr>
        <w:t>Pastaba.</w:t>
      </w:r>
      <w:r>
        <w:rPr>
          <w:sz w:val="20"/>
          <w:lang w:eastAsia="lt-LT"/>
        </w:rPr>
        <w:t xml:space="preserve"> Lentelės dalyje „</w:t>
      </w:r>
      <w:r>
        <w:rPr>
          <w:rFonts w:eastAsia="Calibri"/>
          <w:bCs/>
          <w:iCs/>
          <w:sz w:val="20"/>
        </w:rPr>
        <w:t>Duomenų įvedimo formos, kuriose pateikiama informacija ir reorganizavimo prijungimo ar išdalijimo būdu atvejais „Jungimų“ stulpelyje (eilutėje)“</w:t>
      </w:r>
      <w:r>
        <w:rPr>
          <w:sz w:val="20"/>
          <w:lang w:eastAsia="lt-LT"/>
        </w:rPr>
        <w:t xml:space="preserve"> nurodytos duomenų įvedimo formos, kurias pildo ir viešojo sektoriaus subjektai, prie kurių nebuvo prijungti reorganizuoti viešojo sektoriaus subjektai, kaip nurodyta Viešojo sektoriaus subjektų finansinių ataskaitų rinkinių konsolidavimo metodikos 3, 8, 9 prieduose.</w:t>
      </w:r>
    </w:p>
    <w:p>
      <w:pPr>
        <w:tabs>
          <w:tab w:val="left" w:pos="426"/>
        </w:tabs>
        <w:ind w:left="720"/>
        <w:rPr>
          <w:sz w:val="20"/>
          <w:lang w:eastAsia="lt-LT"/>
        </w:rPr>
      </w:pPr>
      <w:r>
        <w:rPr>
          <w:sz w:val="20"/>
          <w:lang w:eastAsia="lt-LT"/>
        </w:rPr>
        <w:br w:type="page"/>
      </w:r>
    </w:p>
    <w:p>
      <w:pPr>
        <w:tabs>
          <w:tab w:val="left" w:pos="426"/>
        </w:tabs>
        <w:rPr>
          <w:b/>
          <w:sz w:val="20"/>
          <w:lang w:eastAsia="lt-LT"/>
        </w:rPr>
      </w:pPr>
      <w:r>
        <w:rPr>
          <w:b/>
          <w:sz w:val="20"/>
          <w:lang w:eastAsia="lt-LT"/>
        </w:rPr>
        <w:t>2 lentelė. Viešojo sektoriaus subjektų, kurie prisijungia kitą viešojo sektoriaus subjektą, finansinių ataskaitų rinkinio duomenų, perimtų iš prijungimo ar išdalijimo būdu reorganizuoto subjekto, įvedimo formų sąrašas</w:t>
      </w:r>
    </w:p>
    <w:p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194"/>
      </w:tblGrid>
      <w:t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Nr.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ind w:hanging="2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Duomenų įvedimo formos kodas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ind w:firstLine="4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Finansinių ataskaitų rinkinio duomenų įvedimo formos pavadinimas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D-FBA-1-ZF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Finansinės būklės ataskaita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D-GTP-1-ZF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Grynojo turto pokyčių ataskaita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D-P03-1-ZF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Informacija apie nematerialiojo turto balansinės vertės pasikeitimą 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D-P04-1-ZF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Informacija apie ilgalaikio materialiojo turto, vertinamo įsigijimo savikaina, balansinės vertės pasikeitimą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D-P04-2-ZF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Informacija apie ilgalaikio materialiojo turto, vertinamo tikrąja verte, balansinės vertės pasikeitimą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D-P05-1-ZF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Informacija apie ilgalaikį finansinį turtą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D-P05-2-ZF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Parduoti laikomo finansinio turto pokyčiai per ataskaitinį laikotarpį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D-P05-3-ZF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Iki išpirkimo termino laikomo finansinio turto ir suteiktų paskolų pokyčiai per ataskaitinį laikotarpį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D-P05-E-ZF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Finansinio turto pastabos 5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D-P05-F-ZF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Finansinio turto pastabos 6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D-P06-1-ZF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Bendroji investicijos į nuomojamą turtą vertė pagal finansinės nuomos sutartis pagal laikotarpius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D-P07-2-ZF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Informacija apie biologinio turto vertės pasikeitimą per ataskaitinį laikotarpį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D-P07-3-ZF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Informacija apie medynų vertę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D-P08-1-ZF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Informacija apie atsargų vertės pasikeitimą per ataskaitinį laikotarpį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D-P09-1-ZF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Informacija apie išankstinius apmokėjimus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D-P10-1-ZF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Informacija apie per vienus metus gautinas sumas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D-P10-2-ZF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Po vienų metų gautinos sumos pagal grąžinimo laikotarpius ir jų einamųjų metų dalis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D-P11-1-ZF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Informacija apie pinigus ir pinigų ekvivalentus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D-P12-1-ZF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Finansavimo sumos pagal šaltinį, tikslinę paskirtį ir jų pokyčiai per ataskaitinį laikotarpį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D-P13-1-ZF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Įsipareigojimų, apskaitoje užregistruotų amortizuota savikaina, pokytis per ataskaitinį laikotarpį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D-P13-C-ZF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Finansinių įsipareigojimų, apskaitomų tikrąja verte, pokyčiai per ataskaitinį laikotarpį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D-P15-1-ZF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Atidėjiniai pagal jų paskirtį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D-P15-2-ZF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Atidėjiniai pagal jų panaudojimo laiką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D-P16-1-ZF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Suteiktos garantijos dėl paskolų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D-P17-1-ZF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Informacija apie kai kurias trumpalaikes mokėtinas sumas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26.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D-P19-1-ZF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Mokesčių sumos pagal atskirą mokestį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27.</w:t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D-P20-1-ZF</w:t>
            </w:r>
          </w:p>
        </w:tc>
        <w:tc>
          <w:tcPr>
            <w:tcW w:w="7194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Socialinių įmokų sumos pagal atskirą socialinę įmoką</w:t>
            </w:r>
          </w:p>
        </w:tc>
      </w:tr>
    </w:tbl>
    <w:p>
      <w:pPr>
        <w:ind w:firstLine="540"/>
        <w:jc w:val="center"/>
        <w:rPr>
          <w:sz w:val="20"/>
          <w:lang w:eastAsia="lt-LT"/>
        </w:rPr>
      </w:pPr>
    </w:p>
    <w:p>
      <w:pPr>
        <w:tabs>
          <w:tab w:val="left" w:pos="426"/>
        </w:tabs>
        <w:jc w:val="both"/>
        <w:rPr>
          <w:sz w:val="20"/>
          <w:lang w:eastAsia="lt-LT"/>
        </w:rPr>
      </w:pPr>
      <w:r>
        <w:rPr>
          <w:b/>
          <w:sz w:val="20"/>
          <w:lang w:eastAsia="lt-LT"/>
        </w:rPr>
        <w:t>Pastaba</w:t>
      </w:r>
      <w:r>
        <w:rPr>
          <w:sz w:val="20"/>
          <w:lang w:eastAsia="lt-LT"/>
        </w:rPr>
        <w:t>. Šioje lentelėje nurodytos duomenų įvedimo formos naudojamos ir teikiant nereorganizuotų viešojo sektoriaus subjektų finansinių ataskaitų rinkinių informaciją, kaip nurodyta Viešojo sektoriaus subjektų finansinių ataskaitų rinkinių konsolidavimo metodikos 11 priede.</w:t>
      </w:r>
    </w:p>
    <w:p>
      <w:pPr>
        <w:ind w:firstLine="540"/>
        <w:jc w:val="both"/>
        <w:rPr>
          <w:sz w:val="20"/>
          <w:lang w:eastAsia="lt-LT"/>
        </w:rPr>
      </w:pPr>
    </w:p>
    <w:p>
      <w:pPr>
        <w:ind w:firstLine="540"/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end"/>
    </w:r>
  </w:p>
  <w:p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C2AEEF-BFA9-47D3-954D-10D632C6830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55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6437</Characters>
  <Application>Microsoft Office Word</Application>
  <DocSecurity>4</DocSecurity>
  <Lines>279</Lines>
  <Paragraphs>220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Viešojo sektoriaus subjektų finansinių ataskaitų rinkinių konsolidavimo metodikos</vt:lpstr>
    </vt:vector>
  </TitlesOfParts>
  <Company>LR finansų ministerija</Company>
  <LinksUpToDate>false</LinksUpToDate>
  <CharactersWithSpaces>7051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2023-01-25T13:28:00Z</dcterms:created>
  <dc:creator>Anna Belych</dc:creator>
  <lastModifiedBy>adlibuser</lastModifiedBy>
  <lastPrinted>2018-12-27T09:16:00Z</lastPrinted>
  <dcterms:modified xsi:type="dcterms:W3CDTF">2023-01-25T13:28:00Z</dcterms:modified>
  <revision>2</revision>
  <dc:title>Viešojo sektoriaus subjektų finansinių ataskaitų rinkinių konsolidavimo metodikos</dc:title>
</coreProperties>
</file>