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7235484" wp14:editId="316E396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TABAKO, TABAKO GAMINIŲ IR SU JAIS SUSIJUSIŲ GAMINIŲ KONTROLĖS ĮSTATYMO NR. I-1143 25 IR 27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2016 m. gruodžio 20 d. Nr. XIII-157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25 straipsnio pakeitimas</w:t>
      </w:r>
    </w:p>
    <w:p>
      <w:pPr>
        <w:spacing w:line="360" w:lineRule="auto"/>
        <w:ind w:firstLine="720"/>
        <w:jc w:val="both"/>
        <w:rPr>
          <w:rFonts w:eastAsia="SimSun"/>
          <w:b/>
          <w:bCs/>
          <w:kern w:val="1"/>
          <w:szCs w:val="24"/>
          <w:shd w:val="clear" w:color="auto" w:fill="FFFFFF"/>
          <w:lang w:eastAsia="hi-IN" w:bidi="hi-IN"/>
        </w:rPr>
      </w:pPr>
      <w:r>
        <w:rPr>
          <w:szCs w:val="24"/>
        </w:rPr>
        <w:t>1</w:t>
      </w:r>
      <w:r>
        <w:rPr>
          <w:szCs w:val="24"/>
        </w:rPr>
        <w:t xml:space="preserve">. Pakeisti </w:t>
      </w:r>
      <w:r>
        <w:rPr>
          <w:rFonts w:eastAsia="SimSun"/>
          <w:bCs/>
          <w:kern w:val="1"/>
          <w:szCs w:val="24"/>
          <w:shd w:val="clear" w:color="auto" w:fill="FFFFFF"/>
          <w:lang w:eastAsia="hi-IN" w:bidi="hi-IN"/>
        </w:rPr>
        <w:t>25 straipsnio 2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. Fiziniai asmenys už šio Įstatymo pažeidimus atsako Lietuvos Respublikos administracinių nusižengimų kodekse (toliau – Administracinių nusižengimų kodeksas) ir Lietuvos Respublikos baudžiamajame kodekse (toliau – Baudžiamasis kodeksas) nustatyta tvarka.“ </w:t>
      </w:r>
    </w:p>
    <w:p>
      <w:pPr>
        <w:spacing w:line="360" w:lineRule="auto"/>
        <w:ind w:firstLine="720"/>
        <w:jc w:val="both"/>
        <w:rPr>
          <w:rFonts w:eastAsia="SimSun"/>
          <w:b/>
          <w:bCs/>
          <w:kern w:val="1"/>
          <w:szCs w:val="24"/>
          <w:shd w:val="clear" w:color="auto" w:fill="FFFFFF"/>
          <w:lang w:eastAsia="hi-IN" w:bidi="hi-IN"/>
        </w:rPr>
      </w:pPr>
      <w:r>
        <w:rPr>
          <w:szCs w:val="24"/>
        </w:rPr>
        <w:t>2</w:t>
      </w:r>
      <w:r>
        <w:rPr>
          <w:szCs w:val="24"/>
        </w:rPr>
        <w:t xml:space="preserve">. Pakeisti </w:t>
      </w:r>
      <w:r>
        <w:rPr>
          <w:rFonts w:eastAsia="SimSun"/>
          <w:bCs/>
          <w:kern w:val="1"/>
          <w:szCs w:val="24"/>
          <w:shd w:val="clear" w:color="auto" w:fill="FFFFFF"/>
          <w:lang w:eastAsia="hi-IN" w:bidi="hi-IN"/>
        </w:rPr>
        <w:t>25 straipsnio 3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Lietuvos Respublikoje parduodami, laikomi, gabenami kontrabandiniai, falsifikuoti tabako gaminiai, tabako gaminiai be specialių ženklų – banderolių, taip pat tabako gaminiai, kurių įsigijimas nepatvirtintas juridinę galią turinčiais dokumentais arba kurie buvo laikomi, parduodami neturint licencijos, konfiskuojami vadovaujantis arba Administracinių nusižengimų kodeksu, arba Baudžiamuoju kodeksu.“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27 straipsnio pakeitimas</w:t>
      </w:r>
    </w:p>
    <w:p>
      <w:pPr>
        <w:spacing w:line="360" w:lineRule="auto"/>
        <w:ind w:firstLine="720"/>
        <w:jc w:val="both"/>
        <w:rPr>
          <w:rFonts w:eastAsia="SimSun"/>
          <w:bCs/>
          <w:kern w:val="1"/>
          <w:szCs w:val="24"/>
          <w:shd w:val="clear" w:color="auto" w:fill="FFFFFF"/>
          <w:lang w:eastAsia="hi-IN" w:bidi="hi-IN"/>
        </w:rPr>
      </w:pPr>
      <w:r>
        <w:rPr>
          <w:rFonts w:eastAsia="SimSun"/>
          <w:bCs/>
          <w:kern w:val="1"/>
          <w:szCs w:val="24"/>
          <w:shd w:val="clear" w:color="auto" w:fill="FFFFFF"/>
          <w:lang w:eastAsia="hi-IN" w:bidi="hi-IN"/>
        </w:rPr>
        <w:t>Pakeisti 27 straipsnio 1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Šio Įstatymo 26 straipsnio 13 dalyje nurodytų institucijų įgalioti darbuotojai (pareigūnai), nustatę šio Įstatymo nuostatų pažeidimą, surašo Administracinių nusižengimų kodekse nustatyto turinio protokolą.“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Šis įstatymas įsigalioja 2017 m. sausio 1 d. 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6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1409</Characters>
  <Application>Microsoft Office Word</Application>
  <DocSecurity>4</DocSecurity>
  <Lines>41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1589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2016-12-29T07:49:00Z</dcterms:created>
  <dc:creator>MANIUŠKIENĖ Violeta</dc:creator>
  <lastModifiedBy>adlibuser</lastModifiedBy>
  <lastPrinted>2016-12-20T11:41:00Z</lastPrinted>
  <dcterms:modified xsi:type="dcterms:W3CDTF">2016-12-29T07:49:00Z</dcterms:modified>
  <revision>2</revision>
</coreProperties>
</file>