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2FE" w:rsidRDefault="009452FE" w:rsidP="00A60924">
      <w:pPr>
        <w:widowControl w:val="0"/>
        <w:tabs>
          <w:tab w:val="center" w:pos="4819"/>
          <w:tab w:val="right" w:pos="9638"/>
        </w:tabs>
        <w:suppressAutoHyphens/>
        <w:jc w:val="center"/>
        <w:rPr>
          <w:rFonts w:ascii="Thorndale" w:eastAsia="Andale Sans UI" w:hAnsi="Thorndale"/>
          <w:szCs w:val="24"/>
          <w:lang w:eastAsia="lt-LT"/>
        </w:rPr>
      </w:pPr>
    </w:p>
    <w:p w:rsidR="009452FE" w:rsidRDefault="00A60924" w:rsidP="00A60924">
      <w:pPr>
        <w:widowControl w:val="0"/>
        <w:suppressAutoHyphens/>
        <w:spacing w:line="276" w:lineRule="auto"/>
        <w:jc w:val="center"/>
        <w:rPr>
          <w:rFonts w:eastAsia="Andale Sans UI"/>
          <w:b/>
          <w:bCs/>
          <w:szCs w:val="24"/>
          <w:lang w:eastAsia="lt-LT"/>
        </w:rPr>
      </w:pPr>
      <w:r>
        <w:rPr>
          <w:noProof/>
          <w:lang w:eastAsia="lt-LT"/>
        </w:rPr>
        <w:drawing>
          <wp:inline distT="0" distB="0" distL="0" distR="0" wp14:anchorId="74D25006" wp14:editId="4354DA23">
            <wp:extent cx="518160" cy="62166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52FE" w:rsidRDefault="009452FE" w:rsidP="00A60924">
      <w:pPr>
        <w:jc w:val="center"/>
        <w:rPr>
          <w:sz w:val="14"/>
          <w:szCs w:val="14"/>
        </w:rPr>
      </w:pPr>
    </w:p>
    <w:p w:rsidR="009452FE" w:rsidRDefault="00A60924" w:rsidP="00A60924">
      <w:pPr>
        <w:widowControl w:val="0"/>
        <w:suppressAutoHyphens/>
        <w:spacing w:line="276" w:lineRule="auto"/>
        <w:jc w:val="center"/>
        <w:rPr>
          <w:rFonts w:eastAsia="Andale Sans UI"/>
          <w:b/>
          <w:bCs/>
          <w:szCs w:val="24"/>
          <w:lang w:eastAsia="lt-LT"/>
        </w:rPr>
      </w:pPr>
      <w:r>
        <w:rPr>
          <w:rFonts w:eastAsia="Andale Sans UI"/>
          <w:b/>
          <w:bCs/>
          <w:szCs w:val="24"/>
          <w:lang w:eastAsia="lt-LT"/>
        </w:rPr>
        <w:t>LIETUVOS RESPUBLIKOS APLINKOS MINISTRAS</w:t>
      </w:r>
      <w:r>
        <w:rPr>
          <w:rFonts w:eastAsia="Andale Sans UI"/>
          <w:b/>
          <w:bCs/>
          <w:szCs w:val="24"/>
          <w:lang w:eastAsia="lt-LT"/>
        </w:rPr>
        <w:br/>
      </w:r>
    </w:p>
    <w:p w:rsidR="009452FE" w:rsidRDefault="00A60924" w:rsidP="00A60924">
      <w:pPr>
        <w:keepLines/>
        <w:overflowPunct w:val="0"/>
        <w:jc w:val="center"/>
        <w:textAlignment w:val="baseline"/>
        <w:rPr>
          <w:b/>
          <w:szCs w:val="24"/>
        </w:rPr>
      </w:pPr>
      <w:r>
        <w:rPr>
          <w:b/>
          <w:szCs w:val="24"/>
        </w:rPr>
        <w:t>ĮSAKYMAS</w:t>
      </w:r>
    </w:p>
    <w:p w:rsidR="009452FE" w:rsidRDefault="00A60924" w:rsidP="00A60924">
      <w:pPr>
        <w:keepLines/>
        <w:overflowPunct w:val="0"/>
        <w:jc w:val="center"/>
        <w:textAlignment w:val="baseline"/>
        <w:rPr>
          <w:rFonts w:eastAsia="Andale Sans UI"/>
          <w:b/>
          <w:strike/>
          <w:szCs w:val="24"/>
          <w:lang w:eastAsia="lt-LT"/>
        </w:rPr>
      </w:pPr>
      <w:r>
        <w:rPr>
          <w:rFonts w:eastAsia="Andale Sans UI"/>
          <w:b/>
          <w:color w:val="000000"/>
          <w:szCs w:val="24"/>
          <w:lang w:eastAsia="lt-LT"/>
        </w:rPr>
        <w:t xml:space="preserve">DĖL </w:t>
      </w:r>
      <w:r>
        <w:rPr>
          <w:rFonts w:eastAsia="Andale Sans UI"/>
          <w:b/>
          <w:szCs w:val="24"/>
          <w:lang w:eastAsia="lt-LT"/>
        </w:rPr>
        <w:t>ĮGALIOJIMŲ SUTEIKIMO LIETUVOS RESPUBLIKOS APLINKOS MINISTERIJOS APLINKOS PROJEKTŲ VALDYMO AGENTŪRAI</w:t>
      </w:r>
    </w:p>
    <w:p w:rsidR="009452FE" w:rsidRDefault="009452FE" w:rsidP="00A60924">
      <w:pPr>
        <w:widowControl w:val="0"/>
        <w:suppressAutoHyphens/>
        <w:jc w:val="center"/>
        <w:rPr>
          <w:rFonts w:eastAsia="Andale Sans UI"/>
          <w:szCs w:val="24"/>
          <w:lang w:eastAsia="lt-LT"/>
        </w:rPr>
      </w:pPr>
    </w:p>
    <w:p w:rsidR="009452FE" w:rsidRDefault="00A60924" w:rsidP="00A60924">
      <w:pPr>
        <w:widowControl w:val="0"/>
        <w:suppressAutoHyphens/>
        <w:jc w:val="center"/>
        <w:rPr>
          <w:rFonts w:eastAsia="Andale Sans UI"/>
          <w:szCs w:val="24"/>
          <w:lang w:eastAsia="lt-LT"/>
        </w:rPr>
      </w:pPr>
      <w:r>
        <w:rPr>
          <w:rFonts w:eastAsia="Andale Sans UI"/>
          <w:szCs w:val="24"/>
          <w:lang w:eastAsia="lt-LT"/>
        </w:rPr>
        <w:t xml:space="preserve">2021 m. liepos 9 </w:t>
      </w:r>
      <w:r>
        <w:rPr>
          <w:rFonts w:eastAsia="Andale Sans UI"/>
          <w:szCs w:val="24"/>
          <w:lang w:eastAsia="lt-LT"/>
        </w:rPr>
        <w:t xml:space="preserve">d. Nr. </w:t>
      </w:r>
      <w:r w:rsidRPr="00A60924">
        <w:rPr>
          <w:rFonts w:eastAsia="Andale Sans UI"/>
          <w:szCs w:val="24"/>
          <w:lang w:eastAsia="lt-LT"/>
        </w:rPr>
        <w:t>D1-409</w:t>
      </w:r>
    </w:p>
    <w:p w:rsidR="009452FE" w:rsidRDefault="00A60924" w:rsidP="00A60924">
      <w:pPr>
        <w:widowControl w:val="0"/>
        <w:suppressAutoHyphens/>
        <w:jc w:val="center"/>
        <w:rPr>
          <w:rFonts w:eastAsia="Andale Sans UI"/>
          <w:bCs/>
          <w:szCs w:val="24"/>
          <w:lang w:eastAsia="lt-LT"/>
        </w:rPr>
      </w:pPr>
      <w:r>
        <w:rPr>
          <w:rFonts w:eastAsia="Andale Sans UI"/>
          <w:szCs w:val="24"/>
          <w:lang w:eastAsia="lt-LT"/>
        </w:rPr>
        <w:t>Vilnius</w:t>
      </w:r>
    </w:p>
    <w:p w:rsidR="009452FE" w:rsidRDefault="009452FE" w:rsidP="00A60924">
      <w:pPr>
        <w:widowControl w:val="0"/>
        <w:suppressAutoHyphens/>
        <w:jc w:val="center"/>
        <w:rPr>
          <w:rFonts w:eastAsia="Andale Sans UI"/>
          <w:bCs/>
          <w:szCs w:val="24"/>
          <w:lang w:eastAsia="lt-LT"/>
        </w:rPr>
      </w:pPr>
    </w:p>
    <w:p w:rsidR="00A60924" w:rsidRDefault="00A60924" w:rsidP="00A60924">
      <w:pPr>
        <w:widowControl w:val="0"/>
        <w:suppressAutoHyphens/>
        <w:jc w:val="center"/>
        <w:rPr>
          <w:rFonts w:eastAsia="Andale Sans UI"/>
          <w:bCs/>
          <w:szCs w:val="24"/>
          <w:lang w:eastAsia="lt-LT"/>
        </w:rPr>
      </w:pPr>
    </w:p>
    <w:p w:rsidR="009452FE" w:rsidRDefault="00A60924" w:rsidP="00A60924">
      <w:pPr>
        <w:widowControl w:val="0"/>
        <w:suppressAutoHyphens/>
        <w:ind w:right="-3" w:firstLine="709"/>
        <w:jc w:val="both"/>
        <w:rPr>
          <w:rFonts w:eastAsia="Andale Sans UI"/>
          <w:szCs w:val="24"/>
          <w:lang w:eastAsia="lt-LT"/>
        </w:rPr>
      </w:pPr>
      <w:r>
        <w:rPr>
          <w:rFonts w:eastAsia="Andale Sans UI"/>
          <w:szCs w:val="24"/>
          <w:lang w:eastAsia="lt-LT"/>
        </w:rPr>
        <w:t xml:space="preserve">Įgyvendindamas Lietuvos Respublikos </w:t>
      </w:r>
      <w:r>
        <w:rPr>
          <w:rFonts w:eastAsia="Andale Sans UI"/>
          <w:szCs w:val="24"/>
          <w:lang w:eastAsia="lt-LT"/>
        </w:rPr>
        <w:t>valstybės paramos daugiabučiams namams atnaujinti (modernizuoti) įstatymo 3 straipsnio 4 dalies nuostatas:</w:t>
      </w:r>
    </w:p>
    <w:p w:rsidR="009452FE" w:rsidRDefault="00A60924" w:rsidP="00A60924">
      <w:pPr>
        <w:widowControl w:val="0"/>
        <w:suppressAutoHyphens/>
        <w:ind w:right="-3" w:firstLine="709"/>
        <w:jc w:val="both"/>
        <w:rPr>
          <w:rFonts w:eastAsia="Andale Sans UI"/>
          <w:szCs w:val="24"/>
          <w:lang w:eastAsia="lt-LT"/>
        </w:rPr>
      </w:pPr>
      <w:r>
        <w:rPr>
          <w:rFonts w:eastAsia="Andale Sans UI"/>
          <w:spacing w:val="60"/>
          <w:szCs w:val="24"/>
          <w:lang w:eastAsia="lt-LT"/>
        </w:rPr>
        <w:t>1</w:t>
      </w:r>
      <w:r>
        <w:rPr>
          <w:rFonts w:eastAsia="Andale Sans UI"/>
          <w:spacing w:val="60"/>
          <w:szCs w:val="24"/>
          <w:lang w:eastAsia="lt-LT"/>
        </w:rPr>
        <w:t xml:space="preserve">. Į g a l i o j u </w:t>
      </w:r>
      <w:r>
        <w:rPr>
          <w:rFonts w:eastAsia="Andale Sans UI"/>
          <w:szCs w:val="24"/>
          <w:lang w:eastAsia="lt-LT"/>
        </w:rPr>
        <w:t>Lietuvos Respublikos aplinkos ministerijos Aplinkos projektų valdymo agentūrą administruoti Lietuvos Respublikos Vyriausybės p</w:t>
      </w:r>
      <w:r>
        <w:rPr>
          <w:rFonts w:eastAsia="Andale Sans UI"/>
          <w:szCs w:val="24"/>
          <w:lang w:eastAsia="lt-LT"/>
        </w:rPr>
        <w:t>atvirtintos Daugiabučių namų atnaujinimo (modernizavimo) programos įgyvendinimą ir atlikti šias funkcijas:</w:t>
      </w:r>
    </w:p>
    <w:p w:rsidR="009452FE" w:rsidRDefault="00A60924">
      <w:pPr>
        <w:ind w:firstLine="720"/>
        <w:jc w:val="both"/>
        <w:rPr>
          <w:szCs w:val="24"/>
          <w:lang w:val="en-GB" w:eastAsia="en-GB"/>
        </w:rPr>
      </w:pPr>
      <w:r>
        <w:rPr>
          <w:szCs w:val="24"/>
          <w:lang w:eastAsia="en-GB"/>
        </w:rPr>
        <w:t>1.1</w:t>
      </w:r>
      <w:r>
        <w:rPr>
          <w:szCs w:val="24"/>
          <w:lang w:eastAsia="en-GB"/>
        </w:rPr>
        <w:t>. vertinti savivaldybių programų atitiktį Vyriausybės patvirtintai Daugiabučių namų atnaujinimo (modernizavimo) programai;</w:t>
      </w:r>
    </w:p>
    <w:p w:rsidR="009452FE" w:rsidRDefault="00A60924">
      <w:pPr>
        <w:ind w:firstLine="720"/>
        <w:jc w:val="both"/>
        <w:rPr>
          <w:szCs w:val="24"/>
          <w:lang w:val="en-GB" w:eastAsia="en-GB"/>
        </w:rPr>
      </w:pPr>
      <w:r>
        <w:rPr>
          <w:szCs w:val="24"/>
          <w:lang w:eastAsia="en-GB"/>
        </w:rPr>
        <w:t>1.2</w:t>
      </w:r>
      <w:r>
        <w:rPr>
          <w:szCs w:val="24"/>
          <w:lang w:eastAsia="en-GB"/>
        </w:rPr>
        <w:t xml:space="preserve">. vertinti </w:t>
      </w:r>
      <w:r>
        <w:rPr>
          <w:szCs w:val="24"/>
          <w:lang w:eastAsia="en-GB"/>
        </w:rPr>
        <w:t>investicijų planus ir vykdyti atnaujinimo projektų įgyvendinimo priežiūrą Vyriausybės ar jos įgaliotos institucijos nustatyta tvarka;</w:t>
      </w:r>
    </w:p>
    <w:p w:rsidR="009452FE" w:rsidRDefault="00A60924">
      <w:pPr>
        <w:ind w:firstLine="720"/>
        <w:jc w:val="both"/>
        <w:rPr>
          <w:szCs w:val="24"/>
          <w:lang w:val="en-GB" w:eastAsia="en-GB"/>
        </w:rPr>
      </w:pPr>
      <w:r>
        <w:rPr>
          <w:szCs w:val="24"/>
          <w:lang w:eastAsia="en-GB"/>
        </w:rPr>
        <w:t>1.3</w:t>
      </w:r>
      <w:r>
        <w:rPr>
          <w:szCs w:val="24"/>
          <w:lang w:eastAsia="en-GB"/>
        </w:rPr>
        <w:t xml:space="preserve">. administruoti ir teikti </w:t>
      </w:r>
      <w:r>
        <w:rPr>
          <w:rFonts w:eastAsia="Andale Sans UI"/>
          <w:szCs w:val="24"/>
          <w:lang w:eastAsia="lt-LT"/>
        </w:rPr>
        <w:t>Lietuvos Respublikos valstybės paramos daugiabučiams namams atnaujinti (modernizuoti) įst</w:t>
      </w:r>
      <w:r>
        <w:rPr>
          <w:rFonts w:eastAsia="Andale Sans UI"/>
          <w:szCs w:val="24"/>
          <w:lang w:eastAsia="lt-LT"/>
        </w:rPr>
        <w:t>atymo</w:t>
      </w:r>
      <w:r>
        <w:rPr>
          <w:szCs w:val="24"/>
          <w:lang w:eastAsia="en-GB"/>
        </w:rPr>
        <w:t xml:space="preserve"> 3 straipsnio 1 ir 2 dalyse nurodytą valstybės paramą (išskyrus lengvatinių kreditų teikimą ir kredito bei palūkanų apmokėjimą už nepasiturinčius gyventojus);</w:t>
      </w:r>
    </w:p>
    <w:p w:rsidR="009452FE" w:rsidRDefault="00A60924">
      <w:pPr>
        <w:ind w:firstLine="720"/>
        <w:jc w:val="both"/>
        <w:rPr>
          <w:szCs w:val="24"/>
          <w:lang w:val="en-GB" w:eastAsia="en-GB"/>
        </w:rPr>
      </w:pPr>
      <w:r>
        <w:rPr>
          <w:szCs w:val="24"/>
          <w:lang w:eastAsia="en-GB"/>
        </w:rPr>
        <w:t>1.4</w:t>
      </w:r>
      <w:r>
        <w:rPr>
          <w:szCs w:val="24"/>
          <w:lang w:eastAsia="en-GB"/>
        </w:rPr>
        <w:t>. teikti ūkinę veiklą vykdantiems butų ir kitų patalpų savininkams nereikšmingą (</w:t>
      </w:r>
      <w:proofErr w:type="spellStart"/>
      <w:r>
        <w:rPr>
          <w:i/>
          <w:iCs/>
          <w:szCs w:val="24"/>
          <w:lang w:eastAsia="en-GB"/>
        </w:rPr>
        <w:t>de</w:t>
      </w:r>
      <w:proofErr w:type="spellEnd"/>
      <w:r>
        <w:rPr>
          <w:i/>
          <w:iCs/>
          <w:szCs w:val="24"/>
          <w:lang w:eastAsia="en-GB"/>
        </w:rPr>
        <w:t xml:space="preserve"> </w:t>
      </w:r>
      <w:proofErr w:type="spellStart"/>
      <w:r>
        <w:rPr>
          <w:i/>
          <w:iCs/>
          <w:szCs w:val="24"/>
          <w:lang w:eastAsia="en-GB"/>
        </w:rPr>
        <w:t>m</w:t>
      </w:r>
      <w:r>
        <w:rPr>
          <w:i/>
          <w:iCs/>
          <w:szCs w:val="24"/>
          <w:lang w:eastAsia="en-GB"/>
        </w:rPr>
        <w:t>inimis</w:t>
      </w:r>
      <w:proofErr w:type="spellEnd"/>
      <w:r>
        <w:rPr>
          <w:szCs w:val="24"/>
          <w:lang w:eastAsia="en-GB"/>
        </w:rPr>
        <w:t>) pagalbą, kuriai taikomos Europos Sąjungos nereikšmingos (</w:t>
      </w:r>
      <w:proofErr w:type="spellStart"/>
      <w:r>
        <w:rPr>
          <w:i/>
          <w:iCs/>
          <w:szCs w:val="24"/>
          <w:lang w:eastAsia="en-GB"/>
        </w:rPr>
        <w:t>de</w:t>
      </w:r>
      <w:proofErr w:type="spellEnd"/>
      <w:r>
        <w:rPr>
          <w:i/>
          <w:iCs/>
          <w:szCs w:val="24"/>
          <w:lang w:eastAsia="en-GB"/>
        </w:rPr>
        <w:t xml:space="preserve"> </w:t>
      </w:r>
      <w:proofErr w:type="spellStart"/>
      <w:r>
        <w:rPr>
          <w:i/>
          <w:iCs/>
          <w:szCs w:val="24"/>
          <w:lang w:eastAsia="en-GB"/>
        </w:rPr>
        <w:t>minimis</w:t>
      </w:r>
      <w:proofErr w:type="spellEnd"/>
      <w:r>
        <w:rPr>
          <w:szCs w:val="24"/>
          <w:lang w:eastAsia="en-GB"/>
        </w:rPr>
        <w:t>) pagalbos taisyklės;</w:t>
      </w:r>
    </w:p>
    <w:p w:rsidR="009452FE" w:rsidRDefault="00A60924">
      <w:pPr>
        <w:ind w:firstLine="720"/>
        <w:jc w:val="both"/>
        <w:rPr>
          <w:szCs w:val="24"/>
          <w:lang w:val="en-GB" w:eastAsia="en-GB"/>
        </w:rPr>
      </w:pPr>
      <w:r>
        <w:rPr>
          <w:szCs w:val="24"/>
          <w:lang w:eastAsia="en-GB"/>
        </w:rPr>
        <w:t>1.5</w:t>
      </w:r>
      <w:r>
        <w:rPr>
          <w:szCs w:val="24"/>
          <w:lang w:eastAsia="en-GB"/>
        </w:rPr>
        <w:t xml:space="preserve">. kompensuoti bankams ar kitoms finansų įstaigoms lengvatinio kredito bendrą metinių palūkanų dalį, viršijančią </w:t>
      </w:r>
      <w:r>
        <w:rPr>
          <w:rFonts w:eastAsia="Andale Sans UI"/>
          <w:szCs w:val="24"/>
          <w:lang w:eastAsia="lt-LT"/>
        </w:rPr>
        <w:t>Lietuvos Respublikos valstybės paramos d</w:t>
      </w:r>
      <w:r>
        <w:rPr>
          <w:rFonts w:eastAsia="Andale Sans UI"/>
          <w:szCs w:val="24"/>
          <w:lang w:eastAsia="lt-LT"/>
        </w:rPr>
        <w:t>augiabučiams namams atnaujinti (modernizuoti) įstatymo</w:t>
      </w:r>
      <w:r>
        <w:rPr>
          <w:szCs w:val="24"/>
          <w:lang w:eastAsia="en-GB"/>
        </w:rPr>
        <w:t xml:space="preserve"> 3 straipsnio 1 dalies 1 punkte nurodytą lengvatinio kredito palūkanų dydį, pagal </w:t>
      </w:r>
      <w:r>
        <w:rPr>
          <w:rFonts w:eastAsia="Andale Sans UI"/>
          <w:szCs w:val="24"/>
          <w:lang w:eastAsia="lt-LT"/>
        </w:rPr>
        <w:t>Lietuvos Respublikos valstybės paramos daugiabučiams namams atnaujinti (modernizuoti) įstatymo</w:t>
      </w:r>
      <w:r>
        <w:rPr>
          <w:szCs w:val="24"/>
          <w:lang w:eastAsia="en-GB"/>
        </w:rPr>
        <w:t xml:space="preserve">  3 dalyje nurodytas taisy</w:t>
      </w:r>
      <w:r>
        <w:rPr>
          <w:szCs w:val="24"/>
          <w:lang w:eastAsia="en-GB"/>
        </w:rPr>
        <w:t>kles;</w:t>
      </w:r>
    </w:p>
    <w:p w:rsidR="009452FE" w:rsidRDefault="00A60924">
      <w:pPr>
        <w:ind w:firstLine="720"/>
        <w:jc w:val="both"/>
        <w:rPr>
          <w:szCs w:val="24"/>
          <w:lang w:val="en-GB" w:eastAsia="en-GB"/>
        </w:rPr>
      </w:pPr>
      <w:r>
        <w:rPr>
          <w:szCs w:val="24"/>
          <w:lang w:eastAsia="en-GB"/>
        </w:rPr>
        <w:t>1.6</w:t>
      </w:r>
      <w:r>
        <w:rPr>
          <w:szCs w:val="24"/>
          <w:lang w:eastAsia="en-GB"/>
        </w:rPr>
        <w:t>. konsultuoti daugiabučio namo atnaujinimo proceso dalyvius (daugiabučio namo butų ir kitų patalpų savininkus, bendrojo naudojimo objektų valdytojus, savivaldybes ir savivaldybių programų įgyvendinimo administratorius) atnaujinimo ir valstybės</w:t>
      </w:r>
      <w:r>
        <w:rPr>
          <w:szCs w:val="24"/>
          <w:lang w:eastAsia="en-GB"/>
        </w:rPr>
        <w:t xml:space="preserve"> paramos teikimo klausimais, organizuoti ir vykdyti visuomenės informavimą, švietimą ir mokymą;</w:t>
      </w:r>
    </w:p>
    <w:p w:rsidR="009452FE" w:rsidRDefault="00A60924">
      <w:pPr>
        <w:ind w:firstLine="720"/>
        <w:jc w:val="both"/>
        <w:rPr>
          <w:szCs w:val="24"/>
          <w:lang w:val="en-GB" w:eastAsia="en-GB"/>
        </w:rPr>
      </w:pPr>
      <w:r>
        <w:rPr>
          <w:szCs w:val="24"/>
          <w:lang w:eastAsia="en-GB"/>
        </w:rPr>
        <w:t>1.7</w:t>
      </w:r>
      <w:r>
        <w:rPr>
          <w:szCs w:val="24"/>
          <w:lang w:eastAsia="en-GB"/>
        </w:rPr>
        <w:t xml:space="preserve">. organizuoti ir vykdyti Vyriausybės patvirtintos Daugiabučių namų atnaujinimo (modernizavimo) programos įgyvendinimo </w:t>
      </w:r>
      <w:proofErr w:type="spellStart"/>
      <w:r>
        <w:rPr>
          <w:szCs w:val="24"/>
          <w:lang w:eastAsia="en-GB"/>
        </w:rPr>
        <w:t>stebėseną</w:t>
      </w:r>
      <w:proofErr w:type="spellEnd"/>
      <w:r>
        <w:rPr>
          <w:szCs w:val="24"/>
          <w:lang w:eastAsia="en-GB"/>
        </w:rPr>
        <w:t>.</w:t>
      </w:r>
    </w:p>
    <w:p w:rsidR="009452FE" w:rsidRDefault="00A60924" w:rsidP="00A60924">
      <w:pPr>
        <w:widowControl w:val="0"/>
        <w:suppressAutoHyphens/>
        <w:ind w:right="-3" w:firstLine="709"/>
        <w:jc w:val="both"/>
        <w:rPr>
          <w:rFonts w:eastAsia="Andale Sans UI"/>
          <w:color w:val="000000"/>
          <w:szCs w:val="24"/>
          <w:lang w:eastAsia="lt-LT"/>
        </w:rPr>
      </w:pPr>
      <w:r>
        <w:rPr>
          <w:rFonts w:eastAsia="Andale Sans UI"/>
          <w:color w:val="000000"/>
          <w:szCs w:val="24"/>
          <w:lang w:eastAsia="lt-LT"/>
        </w:rPr>
        <w:t>2</w:t>
      </w:r>
      <w:r>
        <w:rPr>
          <w:rFonts w:eastAsia="Andale Sans UI"/>
          <w:color w:val="000000"/>
          <w:szCs w:val="24"/>
          <w:lang w:eastAsia="lt-LT"/>
        </w:rPr>
        <w:t>. Nustatau, kad š</w:t>
      </w:r>
      <w:r>
        <w:rPr>
          <w:rFonts w:eastAsia="Andale Sans UI"/>
          <w:color w:val="000000"/>
          <w:szCs w:val="24"/>
          <w:lang w:eastAsia="lt-LT"/>
        </w:rPr>
        <w:t>is įsakymas įsigalioja 2021 m. lapkričio 1 d.</w:t>
      </w:r>
    </w:p>
    <w:bookmarkStart w:id="0" w:name="_GoBack" w:displacedByCustomXml="prev"/>
    <w:p w:rsidR="009452FE" w:rsidRDefault="009452FE">
      <w:pPr>
        <w:widowControl w:val="0"/>
        <w:suppressAutoHyphens/>
        <w:ind w:right="-3"/>
        <w:jc w:val="both"/>
        <w:rPr>
          <w:rFonts w:eastAsia="Andale Sans UI"/>
          <w:color w:val="000000"/>
          <w:szCs w:val="24"/>
          <w:lang w:eastAsia="lt-LT"/>
        </w:rPr>
      </w:pPr>
    </w:p>
    <w:p w:rsidR="009452FE" w:rsidRDefault="009452FE">
      <w:pPr>
        <w:widowControl w:val="0"/>
        <w:suppressAutoHyphens/>
        <w:ind w:right="-3"/>
        <w:jc w:val="both"/>
        <w:rPr>
          <w:rFonts w:eastAsia="Andale Sans UI"/>
          <w:color w:val="000000"/>
          <w:szCs w:val="24"/>
          <w:lang w:eastAsia="lt-LT"/>
        </w:rPr>
      </w:pPr>
    </w:p>
    <w:p w:rsidR="009452FE" w:rsidRDefault="009452FE">
      <w:pPr>
        <w:widowControl w:val="0"/>
        <w:suppressAutoHyphens/>
        <w:ind w:right="-3"/>
        <w:jc w:val="both"/>
        <w:rPr>
          <w:rFonts w:eastAsia="Andale Sans UI"/>
          <w:color w:val="000000"/>
          <w:szCs w:val="24"/>
          <w:lang w:eastAsia="lt-LT"/>
        </w:rPr>
      </w:pPr>
    </w:p>
    <w:p w:rsidR="009452FE" w:rsidRDefault="00A60924" w:rsidP="00A60924">
      <w:pPr>
        <w:widowControl w:val="0"/>
        <w:tabs>
          <w:tab w:val="left" w:pos="4825"/>
        </w:tabs>
        <w:suppressAutoHyphens/>
        <w:ind w:left="8" w:right="34"/>
        <w:rPr>
          <w:rFonts w:eastAsia="Andale Sans UI"/>
          <w:szCs w:val="24"/>
          <w:lang w:eastAsia="lt-LT"/>
        </w:rPr>
      </w:pPr>
      <w:r>
        <w:rPr>
          <w:rFonts w:eastAsia="Andale Sans UI"/>
          <w:color w:val="000000"/>
          <w:szCs w:val="24"/>
          <w:lang w:eastAsia="lt-LT"/>
        </w:rPr>
        <w:t>Aplinkos ministras</w:t>
      </w:r>
      <w:r>
        <w:rPr>
          <w:rFonts w:eastAsia="Andale Sans UI"/>
          <w:szCs w:val="24"/>
          <w:lang w:eastAsia="lt-LT"/>
        </w:rPr>
        <w:tab/>
        <w:t>Simonas Gentvilas</w:t>
      </w:r>
    </w:p>
    <w:bookmarkEnd w:id="0" w:displacedByCustomXml="next"/>
    <w:sectPr w:rsidR="009452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2FE" w:rsidRDefault="00A60924">
      <w:pPr>
        <w:widowControl w:val="0"/>
        <w:suppressAutoHyphens/>
        <w:rPr>
          <w:rFonts w:ascii="Thorndale" w:eastAsia="Andale Sans UI" w:hAnsi="Thorndale"/>
          <w:szCs w:val="24"/>
          <w:lang w:eastAsia="lt-LT"/>
        </w:rPr>
      </w:pPr>
      <w:r>
        <w:rPr>
          <w:rFonts w:ascii="Thorndale" w:eastAsia="Andale Sans UI" w:hAnsi="Thorndale"/>
          <w:szCs w:val="24"/>
          <w:lang w:eastAsia="lt-LT"/>
        </w:rPr>
        <w:separator/>
      </w:r>
    </w:p>
  </w:endnote>
  <w:endnote w:type="continuationSeparator" w:id="0">
    <w:p w:rsidR="009452FE" w:rsidRDefault="00A60924">
      <w:pPr>
        <w:widowControl w:val="0"/>
        <w:suppressAutoHyphens/>
        <w:rPr>
          <w:rFonts w:ascii="Thorndale" w:eastAsia="Andale Sans UI" w:hAnsi="Thorndale"/>
          <w:szCs w:val="24"/>
          <w:lang w:eastAsia="lt-LT"/>
        </w:rPr>
      </w:pPr>
      <w:r>
        <w:rPr>
          <w:rFonts w:ascii="Thorndale" w:eastAsia="Andale Sans UI" w:hAnsi="Thorndale"/>
          <w:szCs w:val="24"/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BA"/>
    <w:family w:val="roman"/>
    <w:pitch w:val="variable"/>
  </w:font>
  <w:font w:name="Andale Sans UI">
    <w:altName w:val="Times New Roman"/>
    <w:charset w:val="BA"/>
    <w:family w:val="auto"/>
    <w:pitch w:val="variable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2FE" w:rsidRDefault="009452FE">
    <w:pPr>
      <w:widowControl w:val="0"/>
      <w:tabs>
        <w:tab w:val="center" w:pos="4986"/>
        <w:tab w:val="right" w:pos="9972"/>
      </w:tabs>
      <w:suppressAutoHyphens/>
      <w:rPr>
        <w:rFonts w:ascii="Thorndale" w:eastAsia="Andale Sans UI" w:hAnsi="Thorndale"/>
        <w:szCs w:val="24"/>
        <w:lang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2FE" w:rsidRDefault="009452FE">
    <w:pPr>
      <w:widowControl w:val="0"/>
      <w:tabs>
        <w:tab w:val="center" w:pos="4986"/>
        <w:tab w:val="right" w:pos="9972"/>
      </w:tabs>
      <w:suppressAutoHyphens/>
      <w:rPr>
        <w:rFonts w:ascii="Thorndale" w:eastAsia="Andale Sans UI" w:hAnsi="Thorndale"/>
        <w:szCs w:val="24"/>
        <w:lang w:eastAsia="lt-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2FE" w:rsidRDefault="009452FE">
    <w:pPr>
      <w:widowControl w:val="0"/>
      <w:tabs>
        <w:tab w:val="center" w:pos="4986"/>
        <w:tab w:val="right" w:pos="9972"/>
      </w:tabs>
      <w:suppressAutoHyphens/>
      <w:rPr>
        <w:rFonts w:ascii="Thorndale" w:eastAsia="Andale Sans UI" w:hAnsi="Thorndale"/>
        <w:szCs w:val="24"/>
        <w:lang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2FE" w:rsidRDefault="00A60924">
      <w:pPr>
        <w:widowControl w:val="0"/>
        <w:suppressAutoHyphens/>
        <w:rPr>
          <w:rFonts w:ascii="Thorndale" w:eastAsia="Andale Sans UI" w:hAnsi="Thorndale"/>
          <w:szCs w:val="24"/>
          <w:lang w:eastAsia="lt-LT"/>
        </w:rPr>
      </w:pPr>
      <w:r>
        <w:rPr>
          <w:rFonts w:ascii="Thorndale" w:eastAsia="Andale Sans UI" w:hAnsi="Thorndale"/>
          <w:szCs w:val="24"/>
          <w:lang w:eastAsia="lt-LT"/>
        </w:rPr>
        <w:separator/>
      </w:r>
    </w:p>
  </w:footnote>
  <w:footnote w:type="continuationSeparator" w:id="0">
    <w:p w:rsidR="009452FE" w:rsidRDefault="00A60924">
      <w:pPr>
        <w:widowControl w:val="0"/>
        <w:suppressAutoHyphens/>
        <w:rPr>
          <w:rFonts w:ascii="Thorndale" w:eastAsia="Andale Sans UI" w:hAnsi="Thorndale"/>
          <w:szCs w:val="24"/>
          <w:lang w:eastAsia="lt-LT"/>
        </w:rPr>
      </w:pPr>
      <w:r>
        <w:rPr>
          <w:rFonts w:ascii="Thorndale" w:eastAsia="Andale Sans UI" w:hAnsi="Thorndale"/>
          <w:szCs w:val="24"/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2FE" w:rsidRDefault="009452FE">
    <w:pPr>
      <w:widowControl w:val="0"/>
      <w:tabs>
        <w:tab w:val="center" w:pos="4819"/>
        <w:tab w:val="right" w:pos="9638"/>
      </w:tabs>
      <w:suppressAutoHyphens/>
      <w:rPr>
        <w:rFonts w:ascii="Thorndale" w:eastAsia="Andale Sans UI" w:hAnsi="Thorndale"/>
        <w:szCs w:val="24"/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2FE" w:rsidRDefault="00A60924">
    <w:pPr>
      <w:widowControl w:val="0"/>
      <w:tabs>
        <w:tab w:val="center" w:pos="4819"/>
        <w:tab w:val="right" w:pos="9638"/>
      </w:tabs>
      <w:suppressAutoHyphens/>
      <w:jc w:val="center"/>
      <w:rPr>
        <w:rFonts w:ascii="Thorndale" w:eastAsia="Andale Sans UI" w:hAnsi="Thorndale"/>
        <w:szCs w:val="24"/>
        <w:lang w:eastAsia="lt-LT"/>
      </w:rPr>
    </w:pPr>
    <w:r>
      <w:rPr>
        <w:rFonts w:ascii="Thorndale" w:eastAsia="Andale Sans UI" w:hAnsi="Thorndale"/>
        <w:szCs w:val="24"/>
        <w:lang w:eastAsia="lt-LT"/>
      </w:rPr>
      <w:fldChar w:fldCharType="begin"/>
    </w:r>
    <w:r>
      <w:rPr>
        <w:rFonts w:ascii="Thorndale" w:eastAsia="Andale Sans UI" w:hAnsi="Thorndale"/>
        <w:szCs w:val="24"/>
        <w:lang w:eastAsia="lt-LT"/>
      </w:rPr>
      <w:instrText>PAGE   \* MERGEFORMAT</w:instrText>
    </w:r>
    <w:r>
      <w:rPr>
        <w:rFonts w:ascii="Thorndale" w:eastAsia="Andale Sans UI" w:hAnsi="Thorndale"/>
        <w:szCs w:val="24"/>
        <w:lang w:eastAsia="lt-LT"/>
      </w:rPr>
      <w:fldChar w:fldCharType="separate"/>
    </w:r>
    <w:r>
      <w:rPr>
        <w:rFonts w:ascii="Thorndale" w:eastAsia="Andale Sans UI" w:hAnsi="Thorndale"/>
        <w:szCs w:val="24"/>
        <w:lang w:eastAsia="lt-LT"/>
      </w:rPr>
      <w:t>2</w:t>
    </w:r>
    <w:r>
      <w:rPr>
        <w:rFonts w:ascii="Thorndale" w:eastAsia="Andale Sans UI" w:hAnsi="Thorndale"/>
        <w:szCs w:val="24"/>
        <w:lang w:eastAsia="lt-LT"/>
      </w:rPr>
      <w:fldChar w:fldCharType="end"/>
    </w:r>
  </w:p>
  <w:p w:rsidR="009452FE" w:rsidRDefault="009452FE">
    <w:pPr>
      <w:widowControl w:val="0"/>
      <w:tabs>
        <w:tab w:val="center" w:pos="4819"/>
        <w:tab w:val="right" w:pos="9638"/>
      </w:tabs>
      <w:suppressAutoHyphens/>
      <w:rPr>
        <w:rFonts w:ascii="Thorndale" w:eastAsia="Andale Sans UI" w:hAnsi="Thorndale"/>
        <w:szCs w:val="24"/>
        <w:lang w:eastAsia="lt-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2FE" w:rsidRDefault="009452FE">
    <w:pPr>
      <w:widowControl w:val="0"/>
      <w:tabs>
        <w:tab w:val="center" w:pos="4819"/>
        <w:tab w:val="right" w:pos="9638"/>
      </w:tabs>
      <w:suppressAutoHyphens/>
      <w:rPr>
        <w:rFonts w:ascii="Thorndale" w:eastAsia="Andale Sans UI" w:hAnsi="Thorndale"/>
        <w:szCs w:val="24"/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oNotHyphenateCaps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B4"/>
    <w:rsid w:val="002C54B4"/>
    <w:rsid w:val="009452FE"/>
    <w:rsid w:val="00A6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A6092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A609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8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6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9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glossaryDocument" Target="glossary/document.xml"/>
  <Relationship Id="rId17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BA"/>
    <w:family w:val="roman"/>
    <w:pitch w:val="variable"/>
  </w:font>
  <w:font w:name="Andale Sans UI">
    <w:altName w:val="Times New Roman"/>
    <w:charset w:val="BA"/>
    <w:family w:val="auto"/>
    <w:pitch w:val="variable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A98"/>
    <w:rsid w:val="0015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155A98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155A9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1511</Words>
  <Characters>862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2021-07-09T13:18:00Z</dcterms:created>
  <dc:creator>Alvydas Geigalas</dc:creator>
  <lastModifiedBy>JUOSPONIENĖ Karolina</lastModifiedBy>
  <dcterms:modified xsi:type="dcterms:W3CDTF">2021-07-09T13:50:00Z</dcterms:modified>
  <revision>3</revision>
</coreProperties>
</file>