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D9" w:rsidRDefault="008723D9" w:rsidP="00373B8A">
      <w:pPr>
        <w:tabs>
          <w:tab w:val="center" w:pos="4153"/>
          <w:tab w:val="right" w:pos="8306"/>
        </w:tabs>
        <w:rPr>
          <w:lang w:eastAsia="lt-LT"/>
        </w:rPr>
      </w:pPr>
    </w:p>
    <w:p w:rsidR="008723D9" w:rsidRDefault="00373B8A">
      <w:pPr>
        <w:jc w:val="center"/>
        <w:rPr>
          <w:lang w:eastAsia="lt-LT"/>
        </w:rPr>
      </w:pPr>
      <w:r>
        <w:rPr>
          <w:noProof/>
          <w:lang w:eastAsia="ko-KR"/>
        </w:rPr>
        <w:drawing>
          <wp:inline distT="0" distB="0" distL="0" distR="0" wp14:anchorId="3E0BD406" wp14:editId="66D1BD3C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D9" w:rsidRDefault="00373B8A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:rsidR="008723D9" w:rsidRDefault="008723D9">
      <w:pPr>
        <w:jc w:val="center"/>
        <w:rPr>
          <w:b/>
          <w:lang w:eastAsia="lt-LT"/>
        </w:rPr>
      </w:pPr>
    </w:p>
    <w:p w:rsidR="008723D9" w:rsidRDefault="00373B8A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:rsidR="008723D9" w:rsidRDefault="00373B8A">
      <w:pPr>
        <w:jc w:val="center"/>
        <w:rPr>
          <w:lang w:eastAsia="lt-LT"/>
        </w:rPr>
      </w:pPr>
      <w:r>
        <w:rPr>
          <w:b/>
          <w:lang w:eastAsia="lt-LT"/>
        </w:rPr>
        <w:t>DĖL</w:t>
      </w:r>
      <w:r>
        <w:rPr>
          <w:b/>
          <w:bCs/>
          <w:szCs w:val="24"/>
          <w:lang w:eastAsia="lt-LT"/>
        </w:rPr>
        <w:t xml:space="preserve"> FINANSŲ MINISTRO 2020 M. GRUODŽIO 8 D. ĮSAKYMO NR. 1K-</w:t>
      </w:r>
      <w:r w:rsidRPr="00373B8A">
        <w:rPr>
          <w:b/>
          <w:bCs/>
          <w:szCs w:val="24"/>
          <w:lang w:eastAsia="lt-LT"/>
        </w:rPr>
        <w:t>423</w:t>
      </w:r>
      <w:r>
        <w:rPr>
          <w:b/>
          <w:bCs/>
          <w:szCs w:val="24"/>
          <w:lang w:eastAsia="lt-LT"/>
        </w:rPr>
        <w:t xml:space="preserve"> „DĖL VIEŠOJO SEKTORIAUS APSKAITOS IR FINANSINĖS ATSKAITOMYBĖS 29-OJO STANDARTO PATVIRTINIMO“ PAKEITIMO</w:t>
      </w:r>
    </w:p>
    <w:p w:rsidR="008723D9" w:rsidRDefault="008723D9">
      <w:pPr>
        <w:jc w:val="center"/>
        <w:rPr>
          <w:lang w:eastAsia="lt-LT"/>
        </w:rPr>
      </w:pPr>
    </w:p>
    <w:p w:rsidR="008723D9" w:rsidRDefault="00373B8A">
      <w:pPr>
        <w:jc w:val="center"/>
        <w:rPr>
          <w:lang w:eastAsia="lt-LT"/>
        </w:rPr>
      </w:pPr>
      <w:r>
        <w:rPr>
          <w:lang w:eastAsia="lt-LT"/>
        </w:rPr>
        <w:t>2022 m. sausio 31</w:t>
      </w:r>
      <w:r>
        <w:rPr>
          <w:lang w:eastAsia="lt-LT"/>
        </w:rPr>
        <w:t xml:space="preserve"> d. Nr. 1K-28</w:t>
      </w:r>
    </w:p>
    <w:p w:rsidR="008723D9" w:rsidRDefault="00373B8A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8723D9" w:rsidRDefault="008723D9">
      <w:pPr>
        <w:jc w:val="center"/>
        <w:rPr>
          <w:lang w:eastAsia="lt-LT"/>
        </w:rPr>
      </w:pPr>
    </w:p>
    <w:p w:rsidR="008723D9" w:rsidRDefault="00373B8A">
      <w:pPr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 a k e i č i u Lietuvos Respublikos finansų ministro 2020 m. gruodžio 8 d. įsakymą Nr. 1K-423 „Dėl viešojo sektoriaus apskaitos ir finansinės atskaitomybės 29-ojo standarto patvirtinimo“</w:t>
      </w:r>
      <w:r>
        <w:rPr>
          <w:lang w:eastAsia="lt-LT"/>
        </w:rPr>
        <w:t>:</w:t>
      </w:r>
    </w:p>
    <w:p w:rsidR="008723D9" w:rsidRDefault="00373B8A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1.1</w:t>
      </w:r>
      <w:r>
        <w:rPr>
          <w:lang w:eastAsia="lt-LT"/>
        </w:rPr>
        <w:t>. Pakeičiu preambulę ir ją išdėstau taip:</w:t>
      </w:r>
    </w:p>
    <w:p w:rsidR="008723D9" w:rsidRDefault="00373B8A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Cs w:val="22"/>
          <w:lang w:eastAsia="lt-LT"/>
        </w:rPr>
      </w:pPr>
      <w:r>
        <w:rPr>
          <w:szCs w:val="24"/>
          <w:lang w:eastAsia="lt-LT"/>
        </w:rPr>
        <w:t>„</w:t>
      </w:r>
      <w:r>
        <w:rPr>
          <w:lang w:eastAsia="lt-LT"/>
        </w:rPr>
        <w:t>Vadovaudamasis Lietuvos Respublikos finansinės apskaitos įstatymo</w:t>
      </w:r>
      <w:r>
        <w:rPr>
          <w:lang w:val="en-GB" w:eastAsia="lt-LT"/>
        </w:rPr>
        <w:t xml:space="preserve"> </w:t>
      </w:r>
      <w:r>
        <w:rPr>
          <w:szCs w:val="24"/>
          <w:lang w:eastAsia="lt-LT"/>
        </w:rPr>
        <w:t xml:space="preserve">12 </w:t>
      </w:r>
      <w:r>
        <w:rPr>
          <w:lang w:eastAsia="lt-LT"/>
        </w:rPr>
        <w:t xml:space="preserve">straipsnio </w:t>
      </w:r>
      <w:r>
        <w:rPr>
          <w:color w:val="000000"/>
          <w:lang w:eastAsia="lt-LT"/>
        </w:rPr>
        <w:t>2</w:t>
      </w:r>
      <w:r>
        <w:rPr>
          <w:lang w:eastAsia="lt-LT"/>
        </w:rPr>
        <w:t> dalimi:</w:t>
      </w:r>
      <w:r>
        <w:rPr>
          <w:szCs w:val="22"/>
          <w:lang w:eastAsia="lt-LT"/>
        </w:rPr>
        <w:t>“.</w:t>
      </w:r>
    </w:p>
    <w:p w:rsidR="008723D9" w:rsidRDefault="00373B8A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szCs w:val="22"/>
          <w:lang w:eastAsia="lt-LT"/>
        </w:rPr>
        <w:t>1.2</w:t>
      </w:r>
      <w:r>
        <w:rPr>
          <w:szCs w:val="22"/>
          <w:lang w:eastAsia="lt-LT"/>
        </w:rPr>
        <w:t>. Pakeičiu</w:t>
      </w:r>
      <w:r>
        <w:rPr>
          <w:szCs w:val="24"/>
          <w:lang w:eastAsia="lt-LT"/>
        </w:rPr>
        <w:t xml:space="preserve"> 2 punktą ir jį išdėstau taip:</w:t>
      </w:r>
    </w:p>
    <w:p w:rsidR="008723D9" w:rsidRDefault="00373B8A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 u s t a t a u, kad:</w:t>
      </w:r>
    </w:p>
    <w:p w:rsidR="008723D9" w:rsidRDefault="00373B8A">
      <w:pPr>
        <w:ind w:firstLine="709"/>
        <w:jc w:val="both"/>
        <w:rPr>
          <w:strike/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2.1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2"/>
          <w:lang w:eastAsia="lt-LT"/>
        </w:rPr>
        <w:t>Pensijų anuitetų fondo atas</w:t>
      </w:r>
      <w:r>
        <w:rPr>
          <w:color w:val="000000"/>
          <w:szCs w:val="22"/>
          <w:lang w:eastAsia="lt-LT"/>
        </w:rPr>
        <w:t>kaitų rinkinys už 2021 metus pridedamas prie nacionalinio finansinių ataskaitų rinkinio;</w:t>
      </w:r>
    </w:p>
    <w:p w:rsidR="008723D9" w:rsidRDefault="00373B8A">
      <w:pPr>
        <w:ind w:firstLine="709"/>
        <w:jc w:val="both"/>
        <w:rPr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2"/>
          <w:lang w:eastAsia="lt-LT"/>
        </w:rPr>
        <w:t xml:space="preserve">Pensijų anuitetų </w:t>
      </w:r>
      <w:r>
        <w:rPr>
          <w:szCs w:val="22"/>
          <w:lang w:eastAsia="lt-LT"/>
        </w:rPr>
        <w:t>fondo ataskaitų rinkinys konsoliduojamas į nacionalinį finansinių ataskaitų rinkinį už 2022 metus ir vėlesnius ataskaitinius laikotarpius.“</w:t>
      </w:r>
    </w:p>
    <w:p w:rsidR="008723D9" w:rsidRDefault="00373B8A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val="en-GB" w:eastAsia="lt-LT"/>
        </w:rPr>
        <w:t>3</w:t>
      </w:r>
      <w:r>
        <w:rPr>
          <w:szCs w:val="24"/>
          <w:lang w:eastAsia="lt-LT"/>
        </w:rPr>
        <w:t>. Pakeičiu nurodytu įsakymu patvirtintą 29-ąjį viešojo sektoriaus apskaitos ir finansinės atskaitomybės standartą</w:t>
      </w:r>
      <w:r>
        <w:rPr>
          <w:lang w:eastAsia="lt-LT"/>
        </w:rPr>
        <w:t xml:space="preserve"> „</w:t>
      </w:r>
      <w:r>
        <w:rPr>
          <w:szCs w:val="24"/>
          <w:lang w:eastAsia="lt-LT"/>
        </w:rPr>
        <w:t>Pensijų anuitetų fondo apskaita ir ataskaitų rinkinys</w:t>
      </w:r>
      <w:r>
        <w:rPr>
          <w:lang w:eastAsia="lt-LT"/>
        </w:rPr>
        <w:t>“:</w:t>
      </w:r>
    </w:p>
    <w:p w:rsidR="008723D9" w:rsidRDefault="00373B8A">
      <w:p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Cs w:val="22"/>
          <w:lang w:eastAsia="lt-LT"/>
        </w:rPr>
      </w:pPr>
      <w:r>
        <w:rPr>
          <w:szCs w:val="22"/>
        </w:rPr>
        <w:t>1.3.1</w:t>
      </w:r>
      <w:r>
        <w:rPr>
          <w:szCs w:val="22"/>
        </w:rPr>
        <w:t xml:space="preserve">. </w:t>
      </w:r>
      <w:r>
        <w:rPr>
          <w:szCs w:val="22"/>
          <w:lang w:eastAsia="lt-LT"/>
        </w:rPr>
        <w:t xml:space="preserve">Pakeičiu </w:t>
      </w:r>
      <w:r w:rsidRPr="00373B8A">
        <w:rPr>
          <w:szCs w:val="22"/>
          <w:lang w:eastAsia="lt-LT"/>
        </w:rPr>
        <w:t>3</w:t>
      </w:r>
      <w:r>
        <w:rPr>
          <w:szCs w:val="22"/>
          <w:lang w:eastAsia="lt-LT"/>
        </w:rPr>
        <w:t xml:space="preserve"> punktą ir jį išdėstau taip:</w:t>
      </w:r>
    </w:p>
    <w:p w:rsidR="008723D9" w:rsidRDefault="00373B8A">
      <w:p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Cs w:val="22"/>
        </w:rPr>
      </w:pPr>
      <w:r>
        <w:rPr>
          <w:szCs w:val="22"/>
          <w:lang w:eastAsia="lt-LT"/>
        </w:rPr>
        <w:t>„</w:t>
      </w:r>
      <w:r>
        <w:rPr>
          <w:szCs w:val="22"/>
        </w:rPr>
        <w:t>3</w:t>
      </w:r>
      <w:r>
        <w:rPr>
          <w:szCs w:val="22"/>
        </w:rPr>
        <w:t xml:space="preserve">. Standartas </w:t>
      </w:r>
      <w:r>
        <w:rPr>
          <w:szCs w:val="22"/>
        </w:rPr>
        <w:t>netaikomas Fondo tvarkytojo finansinei</w:t>
      </w:r>
      <w:r>
        <w:rPr>
          <w:b/>
          <w:szCs w:val="22"/>
        </w:rPr>
        <w:t xml:space="preserve"> </w:t>
      </w:r>
      <w:r>
        <w:rPr>
          <w:szCs w:val="22"/>
        </w:rPr>
        <w:t>apskaitai tvarkyti ir ataskaitų rinkiniams rengti.“</w:t>
      </w:r>
    </w:p>
    <w:p w:rsidR="008723D9" w:rsidRDefault="00373B8A">
      <w:p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Cs w:val="22"/>
          <w:lang w:eastAsia="lt-LT"/>
        </w:rPr>
      </w:pPr>
      <w:r w:rsidRPr="00373B8A">
        <w:rPr>
          <w:szCs w:val="22"/>
        </w:rPr>
        <w:t>1.3.2</w:t>
      </w:r>
      <w:r w:rsidRPr="00373B8A">
        <w:rPr>
          <w:szCs w:val="22"/>
        </w:rPr>
        <w:t xml:space="preserve">. </w:t>
      </w:r>
      <w:r>
        <w:rPr>
          <w:szCs w:val="22"/>
          <w:lang w:eastAsia="lt-LT"/>
        </w:rPr>
        <w:t xml:space="preserve">Pakeičiu </w:t>
      </w:r>
      <w:r w:rsidRPr="00373B8A">
        <w:rPr>
          <w:szCs w:val="22"/>
          <w:lang w:eastAsia="lt-LT"/>
        </w:rPr>
        <w:t>6</w:t>
      </w:r>
      <w:r>
        <w:rPr>
          <w:szCs w:val="22"/>
          <w:lang w:eastAsia="lt-LT"/>
        </w:rPr>
        <w:t xml:space="preserve"> punktą ir jį išdėstau taip:</w:t>
      </w:r>
    </w:p>
    <w:p w:rsidR="008723D9" w:rsidRPr="00373B8A" w:rsidRDefault="00373B8A">
      <w:p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Cs w:val="22"/>
        </w:rPr>
      </w:pPr>
      <w:r>
        <w:rPr>
          <w:szCs w:val="22"/>
          <w:lang w:eastAsia="lt-LT"/>
        </w:rPr>
        <w:t>„</w:t>
      </w:r>
      <w:r>
        <w:rPr>
          <w:szCs w:val="22"/>
        </w:rPr>
        <w:t>6</w:t>
      </w:r>
      <w:r>
        <w:rPr>
          <w:szCs w:val="22"/>
        </w:rPr>
        <w:t xml:space="preserve">. Kitos standarte vartojamos sąvokos suprantamos taip, kaip jos apibrėžtos Lietuvos Respublikos finansinės </w:t>
      </w:r>
      <w:r>
        <w:rPr>
          <w:szCs w:val="22"/>
        </w:rPr>
        <w:t>apskaitos įstatyme, Lietuvos Respublikos viešojo sektoriaus atskaitomybės įstatyme, Pensijų kaupimo įstatyme, Fondo veiklą reglamentuojančiuose teisės aktuose ir kituose VSAFAS.“</w:t>
      </w:r>
    </w:p>
    <w:p w:rsidR="008723D9" w:rsidRDefault="00373B8A">
      <w:p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Cs w:val="22"/>
          <w:lang w:eastAsia="lt-LT"/>
        </w:rPr>
      </w:pPr>
      <w:r>
        <w:rPr>
          <w:szCs w:val="22"/>
        </w:rPr>
        <w:t>1.3.</w:t>
      </w:r>
      <w:r w:rsidRPr="00373B8A">
        <w:rPr>
          <w:szCs w:val="22"/>
        </w:rPr>
        <w:t>3</w:t>
      </w:r>
      <w:r>
        <w:rPr>
          <w:szCs w:val="22"/>
        </w:rPr>
        <w:t xml:space="preserve">. </w:t>
      </w:r>
      <w:r>
        <w:rPr>
          <w:szCs w:val="22"/>
          <w:lang w:eastAsia="lt-LT"/>
        </w:rPr>
        <w:t>Pakeičiu 15 punktą ir jį išdėstau taip:</w:t>
      </w:r>
    </w:p>
    <w:p w:rsidR="008723D9" w:rsidRDefault="00373B8A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15</w:t>
      </w:r>
      <w:r>
        <w:rPr>
          <w:color w:val="000000"/>
          <w:lang w:eastAsia="lt-LT"/>
        </w:rPr>
        <w:t xml:space="preserve">. Straipsnyje </w:t>
      </w:r>
      <w:r>
        <w:rPr>
          <w:color w:val="000000"/>
          <w:lang w:eastAsia="lt-LT"/>
        </w:rPr>
        <w:t>„Gautinos pensijų anuitetų įmokos“ nurodomos Fondo įmokos, kurioms priskiriamos dalyvio vardu pensijų kaupimo bendrovių į Fondą mokamos vienkartinės įmokos. Gautinos pensijų anuitetų įmokos rengiant nacionalinį metini</w:t>
      </w:r>
      <w:r>
        <w:rPr>
          <w:color w:val="000000"/>
          <w:lang w:val="en-US" w:eastAsia="lt-LT"/>
        </w:rPr>
        <w:t>ų</w:t>
      </w:r>
      <w:r>
        <w:rPr>
          <w:color w:val="000000"/>
          <w:lang w:eastAsia="lt-LT"/>
        </w:rPr>
        <w:t xml:space="preserve"> ataskaitų rinkinį priskiriamos gautin</w:t>
      </w:r>
      <w:r>
        <w:rPr>
          <w:color w:val="000000"/>
          <w:lang w:eastAsia="lt-LT"/>
        </w:rPr>
        <w:t>oms socialinėms įmokoms.“</w:t>
      </w:r>
    </w:p>
    <w:p w:rsidR="008723D9" w:rsidRDefault="00373B8A">
      <w:p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Cs w:val="22"/>
        </w:rPr>
      </w:pPr>
      <w:r>
        <w:rPr>
          <w:szCs w:val="22"/>
        </w:rPr>
        <w:t>1.3.4</w:t>
      </w:r>
      <w:r>
        <w:rPr>
          <w:szCs w:val="22"/>
        </w:rPr>
        <w:t xml:space="preserve">. Papildau 25.3 papunkčiu: </w:t>
      </w:r>
    </w:p>
    <w:p w:rsidR="008723D9" w:rsidRDefault="00373B8A">
      <w:p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Cs w:val="22"/>
        </w:rPr>
      </w:pPr>
      <w:r>
        <w:rPr>
          <w:szCs w:val="22"/>
        </w:rPr>
        <w:t>„</w:t>
      </w:r>
      <w:r>
        <w:rPr>
          <w:szCs w:val="22"/>
        </w:rPr>
        <w:t>25.3</w:t>
      </w:r>
      <w:r>
        <w:rPr>
          <w:szCs w:val="22"/>
        </w:rPr>
        <w:t xml:space="preserve">. </w:t>
      </w:r>
      <w:r>
        <w:rPr>
          <w:bCs/>
          <w:szCs w:val="24"/>
          <w:lang w:eastAsia="lt-LT"/>
        </w:rPr>
        <w:t xml:space="preserve">straipsnyje „Numatomų išmokų techniniai </w:t>
      </w:r>
      <w:proofErr w:type="spellStart"/>
      <w:r>
        <w:rPr>
          <w:bCs/>
          <w:szCs w:val="24"/>
          <w:lang w:eastAsia="lt-LT"/>
        </w:rPr>
        <w:t>atidėjiniai</w:t>
      </w:r>
      <w:proofErr w:type="spellEnd"/>
      <w:r>
        <w:rPr>
          <w:bCs/>
          <w:szCs w:val="24"/>
          <w:lang w:eastAsia="lt-LT"/>
        </w:rPr>
        <w:t>“ nurodomos numatomos mokėti išmokos.</w:t>
      </w:r>
      <w:r>
        <w:rPr>
          <w:szCs w:val="24"/>
          <w:lang w:eastAsia="lt-LT"/>
        </w:rPr>
        <w:t>“</w:t>
      </w:r>
    </w:p>
    <w:p w:rsidR="008723D9" w:rsidRDefault="00373B8A">
      <w:p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Cs w:val="22"/>
        </w:rPr>
      </w:pPr>
      <w:r>
        <w:rPr>
          <w:szCs w:val="22"/>
        </w:rPr>
        <w:t>1.3.5</w:t>
      </w:r>
      <w:r>
        <w:rPr>
          <w:szCs w:val="22"/>
        </w:rPr>
        <w:t>. Pakeičiu 1 priedo parašo elementą ir jį išdėstau taip:</w:t>
      </w:r>
    </w:p>
    <w:p w:rsidR="008723D9" w:rsidRDefault="00373B8A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„_______________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</w:t>
      </w:r>
      <w:r>
        <w:rPr>
          <w:szCs w:val="24"/>
          <w:lang w:eastAsia="lt-LT"/>
        </w:rPr>
        <w:t>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</w:t>
      </w:r>
    </w:p>
    <w:p w:rsidR="008723D9" w:rsidRDefault="00373B8A">
      <w:pPr>
        <w:ind w:firstLine="709"/>
        <w:rPr>
          <w:sz w:val="20"/>
          <w:lang w:eastAsia="lt-LT"/>
        </w:rPr>
      </w:pPr>
      <w:r>
        <w:rPr>
          <w:sz w:val="20"/>
          <w:lang w:eastAsia="lt-LT"/>
        </w:rPr>
        <w:t>(pareigų pavadinimas)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 xml:space="preserve">            (parašas)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(vardas ir pavardė)</w:t>
      </w:r>
    </w:p>
    <w:p w:rsidR="008723D9" w:rsidRDefault="00373B8A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</w:t>
      </w:r>
    </w:p>
    <w:p w:rsidR="008723D9" w:rsidRDefault="00373B8A">
      <w:pPr>
        <w:ind w:firstLine="709"/>
        <w:rPr>
          <w:sz w:val="20"/>
          <w:lang w:eastAsia="lt-LT"/>
        </w:rPr>
      </w:pPr>
      <w:r>
        <w:rPr>
          <w:sz w:val="20"/>
          <w:lang w:eastAsia="lt-LT"/>
        </w:rPr>
        <w:t>(pareigų pavadinimas)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 xml:space="preserve">            (parašas)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(vardas ir pavardė)</w:t>
      </w:r>
      <w:r>
        <w:rPr>
          <w:szCs w:val="24"/>
          <w:lang w:eastAsia="lt-LT"/>
        </w:rPr>
        <w:t>“.</w:t>
      </w:r>
    </w:p>
    <w:p w:rsidR="008723D9" w:rsidRDefault="00373B8A">
      <w:pPr>
        <w:ind w:firstLine="709"/>
        <w:jc w:val="both"/>
        <w:rPr>
          <w:szCs w:val="24"/>
          <w:lang w:eastAsia="lt-LT"/>
        </w:rPr>
      </w:pPr>
      <w:r>
        <w:rPr>
          <w:szCs w:val="24"/>
          <w:lang w:val="en-GB" w:eastAsia="lt-LT"/>
        </w:rPr>
        <w:t>2</w:t>
      </w:r>
      <w:r>
        <w:rPr>
          <w:szCs w:val="24"/>
          <w:lang w:val="en-GB" w:eastAsia="lt-LT"/>
        </w:rPr>
        <w:t xml:space="preserve">. </w:t>
      </w:r>
      <w:r>
        <w:rPr>
          <w:szCs w:val="24"/>
          <w:lang w:eastAsia="lt-LT"/>
        </w:rPr>
        <w:t>N u s t a t a u, k</w:t>
      </w:r>
      <w:r>
        <w:rPr>
          <w:szCs w:val="24"/>
          <w:lang w:eastAsia="lt-LT"/>
        </w:rPr>
        <w:t>ad:</w:t>
      </w:r>
    </w:p>
    <w:p w:rsidR="008723D9" w:rsidRDefault="00373B8A">
      <w:pPr>
        <w:ind w:firstLine="709"/>
        <w:jc w:val="both"/>
        <w:rPr>
          <w:color w:val="000000"/>
          <w:szCs w:val="24"/>
          <w:lang w:eastAsia="lt-LT"/>
        </w:rPr>
      </w:pPr>
      <w:r w:rsidRPr="00373B8A">
        <w:rPr>
          <w:szCs w:val="24"/>
          <w:lang w:eastAsia="lt-LT"/>
        </w:rPr>
        <w:t>2.</w:t>
      </w:r>
      <w:r w:rsidRPr="00373B8A">
        <w:rPr>
          <w:szCs w:val="24"/>
          <w:lang w:eastAsia="lt-LT"/>
        </w:rPr>
        <w:t>1</w:t>
      </w:r>
      <w:r w:rsidRPr="00373B8A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šis įsakymas, išskyrus 1.1, 1.3.1, 1.3.2 ir 1.3.3 papunkčius, taikomas finansinių ataskaitų rinkiniams, rengiamiems už </w:t>
      </w:r>
      <w:r>
        <w:rPr>
          <w:color w:val="000000"/>
          <w:szCs w:val="24"/>
          <w:lang w:eastAsia="lt-LT"/>
        </w:rPr>
        <w:t>202</w:t>
      </w:r>
      <w:r w:rsidRPr="00373B8A"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metus ir vėlesnius ataskaitinius laikotarpius;</w:t>
      </w:r>
    </w:p>
    <w:p w:rsidR="008723D9" w:rsidRDefault="00373B8A">
      <w:pPr>
        <w:ind w:firstLine="709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šio įsakymo 1.1, 1.3.1 ir 1.3.2 papunkčiai įsigalioja </w:t>
      </w:r>
      <w:r>
        <w:rPr>
          <w:lang w:eastAsia="lt-LT"/>
        </w:rPr>
        <w:t xml:space="preserve">2022 m. </w:t>
      </w:r>
      <w:r>
        <w:rPr>
          <w:lang w:eastAsia="lt-LT"/>
        </w:rPr>
        <w:t>gegužės 1 d.</w:t>
      </w:r>
      <w:r>
        <w:rPr>
          <w:szCs w:val="24"/>
          <w:lang w:eastAsia="lt-LT"/>
        </w:rPr>
        <w:t xml:space="preserve"> ir taikomi finansinių ataskaitų rinkiniams, rengiamiems už </w:t>
      </w:r>
      <w:r>
        <w:rPr>
          <w:color w:val="000000"/>
          <w:szCs w:val="24"/>
          <w:lang w:eastAsia="lt-LT"/>
        </w:rPr>
        <w:t>2022 metus ir vėlesnius ataskaitinius laikotarpius</w:t>
      </w:r>
      <w:r>
        <w:rPr>
          <w:lang w:eastAsia="lt-LT"/>
        </w:rPr>
        <w:t>;</w:t>
      </w:r>
    </w:p>
    <w:p w:rsidR="008723D9" w:rsidRDefault="00373B8A" w:rsidP="00373B8A">
      <w:pPr>
        <w:ind w:firstLine="709"/>
        <w:jc w:val="both"/>
        <w:rPr>
          <w:lang w:eastAsia="lt-LT"/>
        </w:rPr>
      </w:pPr>
      <w:r w:rsidRPr="00373B8A">
        <w:rPr>
          <w:szCs w:val="24"/>
          <w:lang w:eastAsia="lt-LT"/>
        </w:rPr>
        <w:t>2.3</w:t>
      </w:r>
      <w:r w:rsidRPr="00373B8A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šio įsakymo 1.3.3 papunktis įsigalioja </w:t>
      </w:r>
      <w:r>
        <w:rPr>
          <w:lang w:eastAsia="lt-LT"/>
        </w:rPr>
        <w:t>2023 m. sausio 1 d.</w:t>
      </w:r>
      <w:r>
        <w:rPr>
          <w:szCs w:val="24"/>
          <w:lang w:eastAsia="lt-LT"/>
        </w:rPr>
        <w:t xml:space="preserve"> ir taikomas finansinių ataskaitų rinkiniams, rengiamiems už </w:t>
      </w:r>
      <w:r>
        <w:rPr>
          <w:color w:val="000000"/>
          <w:szCs w:val="24"/>
          <w:lang w:eastAsia="lt-LT"/>
        </w:rPr>
        <w:t>2023</w:t>
      </w:r>
      <w:r>
        <w:rPr>
          <w:color w:val="000000"/>
          <w:szCs w:val="24"/>
          <w:lang w:eastAsia="lt-LT"/>
        </w:rPr>
        <w:t xml:space="preserve"> metus ir vėlesnius ataskaitinius laikotarpius</w:t>
      </w:r>
      <w:r>
        <w:rPr>
          <w:lang w:eastAsia="lt-LT"/>
        </w:rPr>
        <w:t>.</w:t>
      </w:r>
    </w:p>
    <w:p w:rsidR="00373B8A" w:rsidRDefault="00373B8A"/>
    <w:p w:rsidR="00373B8A" w:rsidRDefault="00373B8A"/>
    <w:p w:rsidR="00373B8A" w:rsidRDefault="00373B8A"/>
    <w:p w:rsidR="008723D9" w:rsidRDefault="00373B8A">
      <w:pPr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Finansų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lang w:eastAsia="lt-LT"/>
        </w:rPr>
        <w:t>Gintarė Skaistė</w:t>
      </w:r>
    </w:p>
    <w:p w:rsidR="008723D9" w:rsidRDefault="00373B8A">
      <w:pPr>
        <w:ind w:firstLine="709"/>
        <w:rPr>
          <w:lang w:eastAsia="lt-LT"/>
        </w:rPr>
      </w:pPr>
    </w:p>
    <w:sectPr w:rsidR="00872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D9" w:rsidRDefault="00373B8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8723D9" w:rsidRDefault="00373B8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D9" w:rsidRDefault="008723D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D9" w:rsidRDefault="008723D9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D9" w:rsidRDefault="008723D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D9" w:rsidRDefault="00373B8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8723D9" w:rsidRDefault="00373B8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D9" w:rsidRDefault="00373B8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8723D9" w:rsidRDefault="008723D9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D9" w:rsidRDefault="00373B8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8723D9" w:rsidRDefault="008723D9" w:rsidP="00373B8A">
    <w:pPr>
      <w:tabs>
        <w:tab w:val="left" w:pos="171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D9" w:rsidRDefault="008723D9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63"/>
    <w:rsid w:val="001B4263"/>
    <w:rsid w:val="00373B8A"/>
    <w:rsid w:val="008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0A34B"/>
  <w15:docId w15:val="{AE2012C2-7289-4BCA-A228-23AD0F63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73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9008D01-E216-4FB1-A924-B5391A872462}"/>
      </w:docPartPr>
      <w:docPartBody>
        <w:p w:rsidR="00000000" w:rsidRDefault="005345B5">
          <w:r w:rsidRPr="00A37B23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B5"/>
    <w:rsid w:val="0053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345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3085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2022-02-01T08:44:00Z</dcterms:created>
  <dc:creator>Aistė Gelusevičiūtė</dc:creator>
  <lastModifiedBy>ŠAULYTĖ SKAIRIENĖ Dalia</lastModifiedBy>
  <lastPrinted>2008-12-29T11:20:00Z</lastPrinted>
  <dcterms:modified xsi:type="dcterms:W3CDTF">2022-02-01T09:02:00Z</dcterms:modified>
  <revision>3</revision>
</coreProperties>
</file>