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E5490" w14:textId="2E84D228" w:rsidR="00A45BC7" w:rsidRDefault="00BE40D7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4DBE54B4" wp14:editId="4DBE54B5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E5492" w14:textId="77777777" w:rsidR="00A45BC7" w:rsidRDefault="00BE40D7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4DBE5493" w14:textId="77777777" w:rsidR="00A45BC7" w:rsidRDefault="00A45BC7">
      <w:pPr>
        <w:jc w:val="center"/>
        <w:rPr>
          <w:caps/>
          <w:lang w:eastAsia="lt-LT"/>
        </w:rPr>
      </w:pPr>
    </w:p>
    <w:p w14:paraId="4DBE5494" w14:textId="77777777" w:rsidR="00A45BC7" w:rsidRDefault="00BE40D7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4DBE5495" w14:textId="77777777" w:rsidR="00A45BC7" w:rsidRDefault="00BE40D7">
      <w:pPr>
        <w:widowControl w:val="0"/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 xml:space="preserve">DĖL LIETUVOS RESPUBLIKOS VYRIAUSYBĖS 2014 M. LAPKRIČIO 26 D. NUTARIMO NR. 1326 „DĖL 2014–2020 METŲ EUROPOS SĄJUNGOS FONDŲ INVESTICIJŲ </w:t>
      </w:r>
      <w:r>
        <w:rPr>
          <w:b/>
          <w:caps/>
          <w:lang w:eastAsia="lt-LT"/>
        </w:rPr>
        <w:t>VEIKSMŲ PROGRAMOS PRIEDO PATVIRTINIMO“ PAKEITIMO</w:t>
      </w:r>
    </w:p>
    <w:p w14:paraId="4DBE5496" w14:textId="77777777" w:rsidR="00A45BC7" w:rsidRDefault="00A45BC7">
      <w:pPr>
        <w:tabs>
          <w:tab w:val="center" w:pos="4153"/>
          <w:tab w:val="right" w:pos="8306"/>
        </w:tabs>
        <w:rPr>
          <w:lang w:eastAsia="lt-LT"/>
        </w:rPr>
      </w:pPr>
    </w:p>
    <w:p w14:paraId="4DBE5497" w14:textId="0EA25B1C" w:rsidR="00A45BC7" w:rsidRDefault="00BE40D7">
      <w:pPr>
        <w:ind w:firstLine="62"/>
        <w:jc w:val="center"/>
        <w:rPr>
          <w:lang w:eastAsia="lt-LT"/>
        </w:rPr>
      </w:pPr>
      <w:r>
        <w:rPr>
          <w:lang w:eastAsia="lt-LT"/>
        </w:rPr>
        <w:t xml:space="preserve">2018 m. gruodžio 12 d. </w:t>
      </w:r>
      <w:r>
        <w:rPr>
          <w:lang w:eastAsia="lt-LT"/>
        </w:rPr>
        <w:t>Nr. 1294</w:t>
      </w:r>
    </w:p>
    <w:p w14:paraId="4DBE5498" w14:textId="77777777" w:rsidR="00A45BC7" w:rsidRDefault="00BE40D7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4DBE5499" w14:textId="77777777" w:rsidR="00A45BC7" w:rsidRDefault="00A45BC7">
      <w:pPr>
        <w:jc w:val="center"/>
        <w:rPr>
          <w:lang w:eastAsia="lt-LT"/>
        </w:rPr>
      </w:pPr>
    </w:p>
    <w:p w14:paraId="387F0526" w14:textId="77777777" w:rsidR="00BE40D7" w:rsidRDefault="00BE40D7">
      <w:pPr>
        <w:jc w:val="center"/>
        <w:rPr>
          <w:lang w:eastAsia="lt-LT"/>
        </w:rPr>
      </w:pPr>
    </w:p>
    <w:p w14:paraId="4DBE549A" w14:textId="77777777" w:rsidR="00A45BC7" w:rsidRDefault="00BE40D7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 w14:paraId="4DBE549B" w14:textId="77777777" w:rsidR="00A45BC7" w:rsidRDefault="00BE40D7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1</w:t>
      </w:r>
      <w:r>
        <w:rPr>
          <w:lang w:eastAsia="lt-LT"/>
        </w:rPr>
        <w:t>. Pakeisti Lietuvos Respublikos Vyriausybės 2014 m. lapkričio 26 d. nutarimą Nr. 1326 „Dėl 2014–2020 metų Europos Sąjungos fondų investicijų veiks</w:t>
      </w:r>
      <w:r>
        <w:rPr>
          <w:lang w:eastAsia="lt-LT"/>
        </w:rPr>
        <w:t xml:space="preserve">mų programos priedo patvirtinimo“: </w:t>
      </w:r>
    </w:p>
    <w:p w14:paraId="4DBE549C" w14:textId="77777777" w:rsidR="00A45BC7" w:rsidRDefault="00BE40D7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1.1</w:t>
      </w:r>
      <w:r>
        <w:rPr>
          <w:lang w:eastAsia="lt-LT"/>
        </w:rPr>
        <w:t>. Pakeisti 2</w:t>
      </w:r>
      <w:r>
        <w:rPr>
          <w:vertAlign w:val="superscript"/>
          <w:lang w:eastAsia="lt-LT"/>
        </w:rPr>
        <w:t>1</w:t>
      </w:r>
      <w:r>
        <w:rPr>
          <w:lang w:eastAsia="lt-LT"/>
        </w:rPr>
        <w:t xml:space="preserve"> punktą ir jį išdėstyti taip:</w:t>
      </w:r>
    </w:p>
    <w:p w14:paraId="4DBE549D" w14:textId="77777777" w:rsidR="00A45BC7" w:rsidRDefault="00BE40D7">
      <w:pPr>
        <w:tabs>
          <w:tab w:val="left" w:pos="142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2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>. Nustatyti, kad savivaldybei</w:t>
      </w:r>
      <w:r>
        <w:rPr>
          <w:b/>
          <w:szCs w:val="24"/>
          <w:lang w:eastAsia="lt-LT"/>
        </w:rPr>
        <w:t xml:space="preserve"> </w:t>
      </w:r>
      <w:r>
        <w:rPr>
          <w:szCs w:val="24"/>
          <w:lang w:eastAsia="lt-LT"/>
        </w:rPr>
        <w:t>skiriama dotacija projekto</w:t>
      </w:r>
      <w:r>
        <w:rPr>
          <w:lang w:eastAsia="lt-LT"/>
        </w:rPr>
        <w:t xml:space="preserve"> </w:t>
      </w:r>
      <w:r>
        <w:rPr>
          <w:szCs w:val="24"/>
          <w:lang w:eastAsia="lt-LT"/>
        </w:rPr>
        <w:t xml:space="preserve">tinkamų finansuoti ES struktūrinių fondų lėšomis išlaidų </w:t>
      </w:r>
      <w:r>
        <w:rPr>
          <w:lang w:eastAsia="lt-LT"/>
        </w:rPr>
        <w:t xml:space="preserve">savivaldybės </w:t>
      </w:r>
      <w:r>
        <w:rPr>
          <w:szCs w:val="24"/>
          <w:lang w:eastAsia="lt-LT"/>
        </w:rPr>
        <w:t xml:space="preserve">nuosavų lėšų indėliui ar jo daliai, </w:t>
      </w:r>
      <w:r>
        <w:rPr>
          <w:szCs w:val="24"/>
          <w:lang w:eastAsia="lt-LT"/>
        </w:rPr>
        <w:t>kurie yra privalomi pagal atitinkamos priemonės projektų finansavimo sąlygų aprašo reikalavimus, padengti</w:t>
      </w:r>
      <w:r>
        <w:rPr>
          <w:b/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tais atvejais, kai savivaldybė neturi galimybių nuosavomis lėšomis finansuoti projekto ir (arba) tapti ES struktūrinių fondų finansinės priemonės </w:t>
      </w:r>
      <w:r>
        <w:rPr>
          <w:szCs w:val="24"/>
          <w:lang w:eastAsia="lt-LT"/>
        </w:rPr>
        <w:t>(toliau – finansinė priemonė) galutine naudos gavėja ir (arba) negali prisiimti įsipareigojimų dėl įgyvendinamų energijos vartojimo efektyvumo projektų, kai taikomas energijos taupymo paslaugų teikėjo modelis, ir (arba) negali prisiimti įsipareigojimų paga</w:t>
      </w:r>
      <w:r>
        <w:rPr>
          <w:szCs w:val="24"/>
          <w:lang w:eastAsia="lt-LT"/>
        </w:rPr>
        <w:t>l įgyvendinant projektą sudaromą valdžios ir privataus subjektų partnerystės sutartį, nes būtų viršyti Lietuvos Respublikos fiskalinės sutarties įgyvendinimo konstituciniame įstatyme savivaldybei nustatyti asignavimų dydžio apribojimai ir (arba) Lietuvos R</w:t>
      </w:r>
      <w:r>
        <w:rPr>
          <w:szCs w:val="24"/>
          <w:lang w:eastAsia="lt-LT"/>
        </w:rPr>
        <w:t>espublikos atitinkamų metų valstybės biudžeto ir savivaldybių biudžetų finansinių rodiklių patvirtinimo įstatyme nustatyti skolos ir (arba) skolinimosi limitai, ir kai yra tenkinamos visos šios dotacijos skyrimo sąlygos:</w:t>
      </w:r>
    </w:p>
    <w:p w14:paraId="4DBE549E" w14:textId="77777777" w:rsidR="00A45BC7" w:rsidRDefault="00BE40D7">
      <w:pPr>
        <w:tabs>
          <w:tab w:val="left" w:pos="142"/>
        </w:tabs>
        <w:spacing w:line="360" w:lineRule="atLeast"/>
        <w:ind w:firstLine="720"/>
        <w:jc w:val="both"/>
        <w:rPr>
          <w:b/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>.1</w:t>
      </w:r>
      <w:r>
        <w:rPr>
          <w:szCs w:val="24"/>
          <w:lang w:eastAsia="lt-LT"/>
        </w:rPr>
        <w:t>.</w:t>
      </w:r>
      <w:r>
        <w:t xml:space="preserve"> </w:t>
      </w:r>
      <w:r>
        <w:rPr>
          <w:szCs w:val="24"/>
          <w:lang w:eastAsia="lt-LT"/>
        </w:rPr>
        <w:t>savivaldybė paskutiniais pa</w:t>
      </w:r>
      <w:r>
        <w:rPr>
          <w:szCs w:val="24"/>
          <w:lang w:eastAsia="lt-LT"/>
        </w:rPr>
        <w:t xml:space="preserve">sibaigusiais metais laikėsi Fiskalinės sutarties įgyvendinimo konstitucinio įstatymo 4 straipsnio 2 ar 4 dalyje nustatytų reikalavimų;  </w:t>
      </w:r>
    </w:p>
    <w:p w14:paraId="4DBE549F" w14:textId="77777777" w:rsidR="00A45BC7" w:rsidRDefault="00BE40D7">
      <w:pPr>
        <w:tabs>
          <w:tab w:val="left" w:pos="142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>.2</w:t>
      </w:r>
      <w:r>
        <w:rPr>
          <w:szCs w:val="24"/>
          <w:lang w:eastAsia="lt-LT"/>
        </w:rPr>
        <w:t>. savivaldybei projekto nuosavų lėšų indėliui trūksta ne mažiau kaip 15 000 eurų;</w:t>
      </w:r>
    </w:p>
    <w:p w14:paraId="4DBE54A0" w14:textId="77777777" w:rsidR="00A45BC7" w:rsidRDefault="00BE40D7">
      <w:pPr>
        <w:tabs>
          <w:tab w:val="left" w:pos="142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>.3</w:t>
      </w:r>
      <w:r>
        <w:rPr>
          <w:szCs w:val="24"/>
          <w:lang w:eastAsia="lt-LT"/>
        </w:rPr>
        <w:t>. visų projektų, prie</w:t>
      </w:r>
      <w:r>
        <w:rPr>
          <w:szCs w:val="24"/>
          <w:lang w:eastAsia="lt-LT"/>
        </w:rPr>
        <w:t xml:space="preserve"> kurių įgyvendinimo prisideda arba planuoja prisidėti savivaldybė atitinkamais metais, atitinkamų metų savivaldybės biudžeto asignavimuose numatyta savivaldybės nuosavų lėšų indėlio suma, kuriai neprašoma skirti dotacijos (toliau – savivaldybės nuosavų lėš</w:t>
      </w:r>
      <w:r>
        <w:rPr>
          <w:szCs w:val="24"/>
          <w:lang w:eastAsia="lt-LT"/>
        </w:rPr>
        <w:t>ų indėlio suma), viršija 0,5 procento atitinkamų metų planuojamų savivaldybės pajamų, apskaičiuotų neįskaitant iš Lietuvos Respublikos valstybės biudžeto savivaldybei skiriamų specialių tikslinių dotacijų bei ES ir kitos tarptautinės finansinės paramos lėš</w:t>
      </w:r>
      <w:r>
        <w:rPr>
          <w:szCs w:val="24"/>
          <w:lang w:eastAsia="lt-LT"/>
        </w:rPr>
        <w:t>ų;</w:t>
      </w:r>
    </w:p>
    <w:p w14:paraId="4DBE54A1" w14:textId="77777777" w:rsidR="00A45BC7" w:rsidRDefault="00BE40D7">
      <w:pPr>
        <w:tabs>
          <w:tab w:val="left" w:pos="142"/>
        </w:tabs>
        <w:spacing w:line="360" w:lineRule="atLeast"/>
        <w:ind w:firstLine="720"/>
        <w:jc w:val="both"/>
      </w:pPr>
      <w:r>
        <w:rPr>
          <w:szCs w:val="24"/>
          <w:lang w:eastAsia="lt-LT"/>
        </w:rPr>
        <w:t>2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>.4</w:t>
      </w:r>
      <w:r>
        <w:rPr>
          <w:szCs w:val="24"/>
          <w:lang w:eastAsia="lt-LT"/>
        </w:rPr>
        <w:t>. savivaldybė dalyvauja arba įsipareigoja dalyvauti įgyvendinant finansines priemones projekto įgyvendinimo laikotarpiu;</w:t>
      </w:r>
      <w:r>
        <w:t xml:space="preserve"> </w:t>
      </w:r>
    </w:p>
    <w:p w14:paraId="4DBE54A2" w14:textId="77777777" w:rsidR="00A45BC7" w:rsidRDefault="00BE40D7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2</w:t>
      </w:r>
      <w:r>
        <w:rPr>
          <w:vertAlign w:val="superscript"/>
          <w:lang w:eastAsia="lt-LT"/>
        </w:rPr>
        <w:t>1</w:t>
      </w:r>
      <w:r>
        <w:rPr>
          <w:lang w:eastAsia="lt-LT"/>
        </w:rPr>
        <w:t>.5</w:t>
      </w:r>
      <w:r>
        <w:rPr>
          <w:lang w:eastAsia="lt-LT"/>
        </w:rPr>
        <w:t xml:space="preserve">. jei atitinkamų metų valstybės biudžeto ir savivaldybių </w:t>
      </w:r>
      <w:r>
        <w:t>biudžetų finansinių rodiklių patvirtinimo įstatyme</w:t>
      </w:r>
      <w:r>
        <w:rPr>
          <w:lang w:eastAsia="lt-LT"/>
        </w:rPr>
        <w:t xml:space="preserve"> nurodyt</w:t>
      </w:r>
      <w:r>
        <w:rPr>
          <w:lang w:eastAsia="lt-LT"/>
        </w:rPr>
        <w:t>os pajamos be kintamosios gyventojų pajamų mokesčio dalies išlaidų pokyčiams kompensuoti (toliau – biudžeto įstatyme nurodytos pajamos), palyginti su paskutinių pasibaigusių metų biudžeto įstatyme nurodytomis pajamomis, didėja:</w:t>
      </w:r>
    </w:p>
    <w:p w14:paraId="4DBE54A3" w14:textId="77777777" w:rsidR="00A45BC7" w:rsidRDefault="00BE40D7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lang w:eastAsia="lt-LT"/>
        </w:rPr>
        <w:t>2</w:t>
      </w:r>
      <w:r>
        <w:rPr>
          <w:vertAlign w:val="superscript"/>
          <w:lang w:eastAsia="lt-LT"/>
        </w:rPr>
        <w:t>1</w:t>
      </w:r>
      <w:r>
        <w:rPr>
          <w:lang w:eastAsia="lt-LT"/>
        </w:rPr>
        <w:t>.5.1</w:t>
      </w:r>
      <w:r>
        <w:rPr>
          <w:lang w:eastAsia="lt-LT"/>
        </w:rPr>
        <w:t>. ne daugiau kaip 10</w:t>
      </w:r>
      <w:r>
        <w:rPr>
          <w:lang w:eastAsia="lt-LT"/>
        </w:rPr>
        <w:t xml:space="preserve"> procentų, </w:t>
      </w:r>
      <w:r>
        <w:rPr>
          <w:szCs w:val="24"/>
          <w:lang w:eastAsia="lt-LT"/>
        </w:rPr>
        <w:t>savivaldybės nuosavų lėšų indėlio suma sudaro 5 procentus atitinkamų metų biudžeto įstatyme nurodytų pajamų padidėjimo sumos, įvertinus šių pajamų nuokrypį nuo visų savivaldybių vidutinių biudžeto įstatyme nurodytų pajamų</w:t>
      </w:r>
      <w:r>
        <w:rPr>
          <w:lang w:eastAsia="lt-LT"/>
        </w:rPr>
        <w:t xml:space="preserve">; </w:t>
      </w:r>
      <w:r>
        <w:rPr>
          <w:szCs w:val="24"/>
          <w:lang w:eastAsia="lt-LT"/>
        </w:rPr>
        <w:t xml:space="preserve"> </w:t>
      </w:r>
    </w:p>
    <w:p w14:paraId="4DBE54A4" w14:textId="77777777" w:rsidR="00A45BC7" w:rsidRDefault="00BE40D7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lang w:eastAsia="lt-LT"/>
        </w:rPr>
        <w:t>2</w:t>
      </w:r>
      <w:r>
        <w:rPr>
          <w:vertAlign w:val="superscript"/>
          <w:lang w:eastAsia="lt-LT"/>
        </w:rPr>
        <w:t>1</w:t>
      </w:r>
      <w:r>
        <w:rPr>
          <w:lang w:eastAsia="lt-LT"/>
        </w:rPr>
        <w:t>.5.2</w:t>
      </w:r>
      <w:r>
        <w:rPr>
          <w:lang w:eastAsia="lt-LT"/>
        </w:rPr>
        <w:t xml:space="preserve">. daugiau </w:t>
      </w:r>
      <w:r>
        <w:rPr>
          <w:lang w:eastAsia="lt-LT"/>
        </w:rPr>
        <w:t>kaip 10 procentų, bet ne daugiau kaip 20 procentų,</w:t>
      </w:r>
      <w:r>
        <w:rPr>
          <w:szCs w:val="24"/>
          <w:lang w:eastAsia="lt-LT"/>
        </w:rPr>
        <w:t xml:space="preserve"> savivaldybės nuosavų lėšų indėlio suma sudaro 10 procentų atitinkamų metų biudžeto įstatyme nurodytų pajamų padidėjimo sumos, įvertinus šių pajamų nuokrypį nuo visų savivaldybių vidutinių biudžeto įstatyme</w:t>
      </w:r>
      <w:r>
        <w:rPr>
          <w:szCs w:val="24"/>
          <w:lang w:eastAsia="lt-LT"/>
        </w:rPr>
        <w:t xml:space="preserve"> nurodytų pajamų;</w:t>
      </w:r>
    </w:p>
    <w:p w14:paraId="4DBE54A5" w14:textId="77777777" w:rsidR="00A45BC7" w:rsidRDefault="00BE40D7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lang w:eastAsia="lt-LT"/>
        </w:rPr>
        <w:t>2</w:t>
      </w:r>
      <w:r>
        <w:rPr>
          <w:vertAlign w:val="superscript"/>
          <w:lang w:eastAsia="lt-LT"/>
        </w:rPr>
        <w:t>1</w:t>
      </w:r>
      <w:r>
        <w:rPr>
          <w:lang w:eastAsia="lt-LT"/>
        </w:rPr>
        <w:t>.5.3</w:t>
      </w:r>
      <w:r>
        <w:rPr>
          <w:lang w:eastAsia="lt-LT"/>
        </w:rPr>
        <w:t>. daugiau kaip 20 procentų,</w:t>
      </w:r>
      <w:r>
        <w:rPr>
          <w:szCs w:val="24"/>
          <w:lang w:eastAsia="lt-LT"/>
        </w:rPr>
        <w:t xml:space="preserve"> savivaldybės nuosavų lėšų indėlio suma sudaro 15 procentų atitinkamų metų biudžeto įstatyme nurodytų pajamų padidėjimo sumos, įvertinus šių pajamų nuokrypį nuo visų savivaldybių vidutinių biudžeto įst</w:t>
      </w:r>
      <w:r>
        <w:rPr>
          <w:szCs w:val="24"/>
          <w:lang w:eastAsia="lt-LT"/>
        </w:rPr>
        <w:t>atyme nurodytų pajamų;</w:t>
      </w:r>
    </w:p>
    <w:p w14:paraId="4DBE54A6" w14:textId="77777777" w:rsidR="00A45BC7" w:rsidRDefault="00BE40D7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2</w:t>
      </w:r>
      <w:r>
        <w:rPr>
          <w:vertAlign w:val="superscript"/>
          <w:lang w:eastAsia="lt-LT"/>
        </w:rPr>
        <w:t>1</w:t>
      </w:r>
      <w:r>
        <w:rPr>
          <w:lang w:eastAsia="lt-LT"/>
        </w:rPr>
        <w:t>.6</w:t>
      </w:r>
      <w:r>
        <w:rPr>
          <w:lang w:eastAsia="lt-LT"/>
        </w:rPr>
        <w:t>. tais atvejais, kai savivaldybė yra projekto, kurio vykdytoja – savivaldybės kontroliuojama įmonė (toliau – įmonė), partnerė arba savivaldybė yra projekto vykdytoja, o projekto partnerė – įmonė, įmonė neturi galimybių fina</w:t>
      </w:r>
      <w:r>
        <w:rPr>
          <w:lang w:eastAsia="lt-LT"/>
        </w:rPr>
        <w:t>nsuoti projekto ar jo dalies iš skolintų lėšų.“</w:t>
      </w:r>
    </w:p>
    <w:p w14:paraId="4DBE54A7" w14:textId="77777777" w:rsidR="00A45BC7" w:rsidRDefault="00BE40D7">
      <w:pPr>
        <w:spacing w:line="360" w:lineRule="atLeast"/>
        <w:ind w:firstLine="720"/>
        <w:jc w:val="both"/>
        <w:rPr>
          <w:b/>
          <w:szCs w:val="24"/>
          <w:lang w:eastAsia="lt-LT"/>
        </w:rPr>
      </w:pPr>
      <w:r>
        <w:rPr>
          <w:szCs w:val="24"/>
          <w:lang w:eastAsia="lt-LT"/>
        </w:rPr>
        <w:t>1.2</w:t>
      </w:r>
      <w:r>
        <w:rPr>
          <w:szCs w:val="24"/>
          <w:lang w:eastAsia="lt-LT"/>
        </w:rPr>
        <w:t>. Pakeisti 2</w:t>
      </w:r>
      <w:r>
        <w:rPr>
          <w:szCs w:val="24"/>
          <w:vertAlign w:val="superscript"/>
          <w:lang w:eastAsia="lt-LT"/>
        </w:rPr>
        <w:t>2</w:t>
      </w:r>
      <w:r>
        <w:rPr>
          <w:szCs w:val="24"/>
          <w:lang w:eastAsia="lt-LT"/>
        </w:rPr>
        <w:t>.4 papunktį ir jį išdėstyti taip:</w:t>
      </w:r>
    </w:p>
    <w:p w14:paraId="4DBE54A8" w14:textId="77777777" w:rsidR="00A45BC7" w:rsidRDefault="00BE40D7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2</w:t>
      </w:r>
      <w:r>
        <w:rPr>
          <w:szCs w:val="24"/>
          <w:vertAlign w:val="superscript"/>
          <w:lang w:eastAsia="lt-LT"/>
        </w:rPr>
        <w:t>2</w:t>
      </w:r>
      <w:r>
        <w:rPr>
          <w:szCs w:val="24"/>
          <w:lang w:eastAsia="lt-LT"/>
        </w:rPr>
        <w:t>.4</w:t>
      </w:r>
      <w:r>
        <w:rPr>
          <w:szCs w:val="24"/>
          <w:lang w:eastAsia="lt-LT"/>
        </w:rPr>
        <w:t xml:space="preserve">. savivaldybė paskutiniais pasibaigusiais metais įgyvendinus projektą nesilaikė Fiskalinės sutarties įgyvendinimo konstitucinio įstatymo 4 </w:t>
      </w:r>
      <w:r>
        <w:rPr>
          <w:szCs w:val="24"/>
          <w:lang w:eastAsia="lt-LT"/>
        </w:rPr>
        <w:t>straipsnio 2 ar 4 dalyje nustatytų reikalavimų.“</w:t>
      </w:r>
    </w:p>
    <w:p w14:paraId="4DBE54A9" w14:textId="77777777" w:rsidR="00A45BC7" w:rsidRDefault="00BE40D7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1.3</w:t>
      </w:r>
      <w:r>
        <w:rPr>
          <w:szCs w:val="24"/>
          <w:lang w:eastAsia="lt-LT"/>
        </w:rPr>
        <w:t>. Papildyti 2</w:t>
      </w:r>
      <w:r>
        <w:rPr>
          <w:szCs w:val="24"/>
          <w:vertAlign w:val="superscript"/>
          <w:lang w:eastAsia="lt-LT"/>
        </w:rPr>
        <w:t>4</w:t>
      </w:r>
      <w:r>
        <w:rPr>
          <w:szCs w:val="24"/>
          <w:lang w:eastAsia="lt-LT"/>
        </w:rPr>
        <w:t xml:space="preserve"> punktu:</w:t>
      </w:r>
    </w:p>
    <w:p w14:paraId="4DBE54AA" w14:textId="77777777" w:rsidR="00A45BC7" w:rsidRDefault="00BE40D7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2</w:t>
      </w:r>
      <w:r>
        <w:rPr>
          <w:szCs w:val="24"/>
          <w:vertAlign w:val="superscript"/>
          <w:lang w:eastAsia="lt-LT"/>
        </w:rPr>
        <w:t>4</w:t>
      </w:r>
      <w:r>
        <w:rPr>
          <w:szCs w:val="24"/>
          <w:lang w:eastAsia="lt-LT"/>
        </w:rPr>
        <w:t>. Šio nutarimo 2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>.5.1</w:t>
      </w:r>
      <w:r>
        <w:rPr>
          <w:szCs w:val="24"/>
          <w:lang w:val="en-US" w:eastAsia="lt-LT"/>
        </w:rPr>
        <w:t>–</w:t>
      </w:r>
      <w:r>
        <w:rPr>
          <w:szCs w:val="24"/>
          <w:lang w:eastAsia="lt-LT"/>
        </w:rPr>
        <w:t>2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>.5.3 papunkčiuose nurodyta savivaldybės nuosavų lėšų indėlio suma apskaičiuojama finansų ministro nustatyta tvarka.“</w:t>
      </w:r>
    </w:p>
    <w:p w14:paraId="4DBE54AE" w14:textId="47DF053B" w:rsidR="00A45BC7" w:rsidRDefault="00BE40D7" w:rsidP="00BE40D7">
      <w:pPr>
        <w:spacing w:line="360" w:lineRule="atLeast"/>
        <w:ind w:firstLine="720"/>
        <w:jc w:val="both"/>
        <w:rPr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. Šis nutarimas </w:t>
      </w:r>
      <w:r>
        <w:rPr>
          <w:szCs w:val="24"/>
          <w:lang w:eastAsia="lt-LT"/>
        </w:rPr>
        <w:t>įsigalioja 2019 m. kovo 1 d.</w:t>
      </w:r>
    </w:p>
    <w:p w14:paraId="1E50E18F" w14:textId="77777777" w:rsidR="00BE40D7" w:rsidRDefault="00BE40D7">
      <w:pPr>
        <w:tabs>
          <w:tab w:val="center" w:pos="-7800"/>
          <w:tab w:val="left" w:pos="6237"/>
          <w:tab w:val="right" w:pos="8306"/>
        </w:tabs>
      </w:pPr>
    </w:p>
    <w:p w14:paraId="6A20AC1A" w14:textId="77777777" w:rsidR="00BE40D7" w:rsidRDefault="00BE40D7">
      <w:pPr>
        <w:tabs>
          <w:tab w:val="center" w:pos="-7800"/>
          <w:tab w:val="left" w:pos="6237"/>
          <w:tab w:val="right" w:pos="8306"/>
        </w:tabs>
      </w:pPr>
    </w:p>
    <w:p w14:paraId="0277627A" w14:textId="77777777" w:rsidR="00BE40D7" w:rsidRDefault="00BE40D7">
      <w:pPr>
        <w:tabs>
          <w:tab w:val="center" w:pos="-7800"/>
          <w:tab w:val="left" w:pos="6237"/>
          <w:tab w:val="right" w:pos="8306"/>
        </w:tabs>
      </w:pPr>
    </w:p>
    <w:p w14:paraId="4DBE54AF" w14:textId="1FE9DF1A" w:rsidR="00A45BC7" w:rsidRDefault="00BE40D7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bookmarkStart w:id="0" w:name="_GoBack"/>
      <w:bookmarkEnd w:id="0"/>
      <w:r>
        <w:rPr>
          <w:lang w:eastAsia="lt-LT"/>
        </w:rPr>
        <w:t>Ministras Pirmininkas</w:t>
      </w:r>
      <w:r>
        <w:rPr>
          <w:lang w:eastAsia="lt-LT"/>
        </w:rPr>
        <w:tab/>
        <w:t xml:space="preserve">Saulius </w:t>
      </w:r>
      <w:proofErr w:type="spellStart"/>
      <w:r>
        <w:rPr>
          <w:lang w:eastAsia="lt-LT"/>
        </w:rPr>
        <w:t>Skvernelis</w:t>
      </w:r>
      <w:proofErr w:type="spellEnd"/>
    </w:p>
    <w:p w14:paraId="4DBE54B0" w14:textId="77777777" w:rsidR="00A45BC7" w:rsidRDefault="00A45BC7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4DBE54B1" w14:textId="77777777" w:rsidR="00A45BC7" w:rsidRDefault="00A45BC7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4DBE54B2" w14:textId="77777777" w:rsidR="00A45BC7" w:rsidRDefault="00A45BC7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4DBE54B3" w14:textId="77777777" w:rsidR="00A45BC7" w:rsidRDefault="00BE40D7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Finansų ministras</w:t>
      </w:r>
      <w:r>
        <w:rPr>
          <w:lang w:eastAsia="lt-LT"/>
        </w:rPr>
        <w:tab/>
        <w:t>Vilius Šapoka</w:t>
      </w:r>
    </w:p>
    <w:sectPr w:rsidR="00A45B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E54B8" w14:textId="77777777" w:rsidR="00A45BC7" w:rsidRDefault="00BE40D7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4DBE54B9" w14:textId="77777777" w:rsidR="00A45BC7" w:rsidRDefault="00BE40D7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E54BE" w14:textId="77777777" w:rsidR="00A45BC7" w:rsidRDefault="00A45BC7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E54BF" w14:textId="77777777" w:rsidR="00A45BC7" w:rsidRDefault="00A45BC7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E54C1" w14:textId="77777777" w:rsidR="00A45BC7" w:rsidRDefault="00A45BC7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E54B6" w14:textId="77777777" w:rsidR="00A45BC7" w:rsidRDefault="00BE40D7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4DBE54B7" w14:textId="77777777" w:rsidR="00A45BC7" w:rsidRDefault="00BE40D7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E54BA" w14:textId="77777777" w:rsidR="00A45BC7" w:rsidRDefault="00BE40D7">
    <w:pPr>
      <w:framePr w:wrap="auto" w:vAnchor="text" w:hAnchor="margin" w:xAlign="center" w:y="1"/>
      <w:tabs>
        <w:tab w:val="center" w:pos="4153"/>
        <w:tab w:val="right" w:pos="8306"/>
      </w:tabs>
      <w:spacing w:after="200" w:line="276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4DBE54BB" w14:textId="77777777" w:rsidR="00A45BC7" w:rsidRDefault="00A45BC7">
    <w:pPr>
      <w:tabs>
        <w:tab w:val="center" w:pos="4153"/>
        <w:tab w:val="right" w:pos="8306"/>
      </w:tabs>
      <w:spacing w:after="200" w:line="276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E54BC" w14:textId="77777777" w:rsidR="00A45BC7" w:rsidRDefault="00BE40D7">
    <w:pPr>
      <w:framePr w:wrap="auto" w:vAnchor="text" w:hAnchor="margin" w:xAlign="center" w:y="1"/>
      <w:tabs>
        <w:tab w:val="center" w:pos="4153"/>
        <w:tab w:val="right" w:pos="8306"/>
      </w:tabs>
      <w:spacing w:after="200" w:line="276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noProof/>
        <w:lang w:eastAsia="lt-LT"/>
      </w:rPr>
      <w:t>2</w:t>
    </w:r>
    <w:r>
      <w:rPr>
        <w:lang w:eastAsia="lt-LT"/>
      </w:rPr>
      <w:fldChar w:fldCharType="end"/>
    </w:r>
  </w:p>
  <w:p w14:paraId="4DBE54BD" w14:textId="77777777" w:rsidR="00A45BC7" w:rsidRDefault="00A45BC7">
    <w:pPr>
      <w:tabs>
        <w:tab w:val="center" w:pos="4153"/>
        <w:tab w:val="right" w:pos="8306"/>
      </w:tabs>
      <w:spacing w:after="200" w:line="276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E54C0" w14:textId="77777777" w:rsidR="00A45BC7" w:rsidRDefault="00A45BC7">
    <w:pPr>
      <w:tabs>
        <w:tab w:val="center" w:pos="4153"/>
        <w:tab w:val="right" w:pos="8306"/>
      </w:tabs>
      <w:spacing w:after="200" w:line="276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3D"/>
    <w:rsid w:val="00A45BC7"/>
    <w:rsid w:val="00BE40D7"/>
    <w:rsid w:val="00C8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DBE54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4101</Characters>
  <Application>Microsoft Office Word</Application>
  <DocSecurity>0</DocSecurity>
  <Lines>34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4654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2018-12-19T08:28:00Z</dcterms:created>
  <dc:creator>Akvilė Liatkovskienė</dc:creator>
  <lastModifiedBy>ŠAULYTĖ SKAIRIENĖ Dalia</lastModifiedBy>
  <lastPrinted>2017-06-01T05:28:00Z</lastPrinted>
  <dcterms:modified xsi:type="dcterms:W3CDTF">2018-12-19T08:38:00Z</dcterms:modified>
  <revision>3</revision>
</coreProperties>
</file>