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A4" w:rsidRDefault="009F09A4">
      <w:pPr>
        <w:tabs>
          <w:tab w:val="center" w:pos="4819"/>
          <w:tab w:val="right" w:pos="9638"/>
        </w:tabs>
        <w:rPr>
          <w:szCs w:val="24"/>
        </w:rPr>
      </w:pPr>
    </w:p>
    <w:p w:rsidR="009F09A4" w:rsidRDefault="009D400E">
      <w:pPr>
        <w:jc w:val="center"/>
        <w:rPr>
          <w:b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726ED09" wp14:editId="7B602392">
            <wp:extent cx="542925" cy="657225"/>
            <wp:effectExtent l="0" t="0" r="9525" b="9525"/>
            <wp:docPr id="1" name="Paveikslėlis 1" descr="Herbas (mažas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 (mažas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A4" w:rsidRDefault="009D4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KUPIŠKIO RAJONO SAVIVALDYBĖS TARYBA</w:t>
      </w:r>
    </w:p>
    <w:p w:rsidR="009F09A4" w:rsidRDefault="009F09A4">
      <w:pPr>
        <w:ind w:firstLine="1276"/>
        <w:jc w:val="center"/>
        <w:rPr>
          <w:b/>
          <w:bCs/>
          <w:szCs w:val="24"/>
        </w:rPr>
      </w:pPr>
    </w:p>
    <w:p w:rsidR="009F09A4" w:rsidRDefault="009D400E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:rsidR="009F09A4" w:rsidRDefault="009D400E">
      <w:pPr>
        <w:jc w:val="center"/>
        <w:rPr>
          <w:b/>
          <w:szCs w:val="24"/>
        </w:rPr>
      </w:pPr>
      <w:r>
        <w:rPr>
          <w:b/>
          <w:szCs w:val="24"/>
        </w:rPr>
        <w:t>DĖL KUPIŠKIO RAJONO SAVIVALDYBĖS TARYBOS 2019 M. KOVO 28 D. SPRENDIMO NR. TS-77 „DĖL KUPIŠKIO RAJONO SAVIVALDYBĖS TARYBOS VEIKLOS REGLAMENTO PATVIRTINIMO“ PAKEITIMO</w:t>
      </w:r>
    </w:p>
    <w:p w:rsidR="009F09A4" w:rsidRDefault="009F09A4">
      <w:pPr>
        <w:jc w:val="center"/>
        <w:rPr>
          <w:b/>
          <w:szCs w:val="24"/>
        </w:rPr>
      </w:pPr>
    </w:p>
    <w:p w:rsidR="009F09A4" w:rsidRDefault="009D400E">
      <w:pPr>
        <w:jc w:val="center"/>
        <w:rPr>
          <w:szCs w:val="24"/>
        </w:rPr>
      </w:pPr>
      <w:r>
        <w:rPr>
          <w:szCs w:val="24"/>
        </w:rPr>
        <w:t>2021 m. gegužės 27 d. Nr. TS-145</w:t>
      </w:r>
    </w:p>
    <w:p w:rsidR="009F09A4" w:rsidRDefault="009D400E">
      <w:pPr>
        <w:jc w:val="center"/>
        <w:rPr>
          <w:szCs w:val="24"/>
        </w:rPr>
      </w:pPr>
      <w:r>
        <w:rPr>
          <w:szCs w:val="24"/>
        </w:rPr>
        <w:t>Kupiškis</w:t>
      </w:r>
    </w:p>
    <w:p w:rsidR="009F09A4" w:rsidRDefault="009F09A4">
      <w:pPr>
        <w:spacing w:line="360" w:lineRule="auto"/>
        <w:rPr>
          <w:szCs w:val="24"/>
        </w:rPr>
      </w:pPr>
    </w:p>
    <w:p w:rsidR="009D400E" w:rsidRDefault="009D400E">
      <w:pPr>
        <w:spacing w:line="360" w:lineRule="auto"/>
        <w:rPr>
          <w:szCs w:val="24"/>
        </w:rPr>
      </w:pPr>
    </w:p>
    <w:p w:rsidR="009F09A4" w:rsidRDefault="009D400E">
      <w:pPr>
        <w:tabs>
          <w:tab w:val="left" w:pos="1247"/>
        </w:tabs>
        <w:spacing w:line="360" w:lineRule="auto"/>
        <w:ind w:firstLine="1440"/>
        <w:jc w:val="both"/>
        <w:rPr>
          <w:szCs w:val="24"/>
        </w:rPr>
      </w:pPr>
      <w:r>
        <w:rPr>
          <w:szCs w:val="24"/>
        </w:rPr>
        <w:t>Vadovaudamasi Lietuvos Respublikos vietos savivaldos įstatymo 18 straipsnio 1 dalimi, Kupiškio rajono savivaldybės taryba  n u s p r e n d ž i a:</w:t>
      </w:r>
    </w:p>
    <w:p w:rsidR="009F09A4" w:rsidRDefault="009D400E">
      <w:pPr>
        <w:tabs>
          <w:tab w:val="left" w:pos="1247"/>
        </w:tabs>
        <w:spacing w:line="360" w:lineRule="auto"/>
        <w:ind w:firstLine="144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Kupiškio rajono savivaldybės tarybos veiklos reglamentą, patvirtintą Kupiškio rajono s</w:t>
      </w:r>
      <w:r>
        <w:rPr>
          <w:szCs w:val="24"/>
        </w:rPr>
        <w:t>avivaldybės tarybos 2019 m. kovo 28 d. sprendimu Nr. TS-77 „Dėl Kupiškio rajono savivaldybės tarybos veiklos reglamento patvirtinimo“:</w:t>
      </w:r>
    </w:p>
    <w:p w:rsidR="009F09A4" w:rsidRDefault="009D400E">
      <w:pPr>
        <w:spacing w:line="360" w:lineRule="auto"/>
        <w:ind w:firstLine="127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38 punktą ir jį išdėstyti taip:</w:t>
      </w:r>
    </w:p>
    <w:p w:rsidR="009F09A4" w:rsidRDefault="009D400E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38</w:t>
      </w:r>
      <w:r>
        <w:rPr>
          <w:szCs w:val="24"/>
        </w:rPr>
        <w:t>. Sudaroma slapto balsavimo balsų skaičiavimo komisija, į kurią kiek</w:t>
      </w:r>
      <w:r>
        <w:rPr>
          <w:szCs w:val="24"/>
        </w:rPr>
        <w:t>viena rinkimus laimėjusi partija, koalicija ar visuomeninis rinkimų komitetas gali deleguoti savo atstovą. Slapto balsavimo balsų skaičiavimo komisijos nariai išsirenka komisijos pirmininką ir sekretorių.“.</w:t>
      </w:r>
    </w:p>
    <w:p w:rsidR="009F09A4" w:rsidRDefault="009D400E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Pakeisti 43 punkto pirmąją pastraipą</w:t>
      </w:r>
      <w:r>
        <w:rPr>
          <w:szCs w:val="24"/>
        </w:rPr>
        <w:t xml:space="preserve"> ir ją išdėstyti taip:</w:t>
      </w:r>
    </w:p>
    <w:p w:rsidR="009F09A4" w:rsidRDefault="009D400E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Už balsavimo organizavimą atsakinga Tarybos sudaryta slapto balsavimo balsų skaičiavimo komisija. Ji Tarybos antspaudu antspauduoja balsavimo biuletenius ir išduoda juos Tarybos nariams.“.</w:t>
      </w:r>
    </w:p>
    <w:p w:rsidR="009F09A4" w:rsidRDefault="009D400E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 Pripažinti netekusiu ga</w:t>
      </w:r>
      <w:r>
        <w:rPr>
          <w:szCs w:val="24"/>
          <w:lang w:eastAsia="lt-LT"/>
        </w:rPr>
        <w:t xml:space="preserve">lios 49 punktą. </w:t>
      </w:r>
    </w:p>
    <w:p w:rsidR="009F09A4" w:rsidRDefault="009D400E">
      <w:pPr>
        <w:spacing w:line="360" w:lineRule="auto"/>
        <w:ind w:firstLine="1276"/>
        <w:jc w:val="both"/>
        <w:rPr>
          <w:szCs w:val="24"/>
        </w:rPr>
      </w:pPr>
      <w:r>
        <w:rPr>
          <w:color w:val="000000"/>
          <w:szCs w:val="24"/>
        </w:rPr>
        <w:t>1.4</w:t>
      </w:r>
      <w:r>
        <w:rPr>
          <w:color w:val="000000"/>
          <w:szCs w:val="24"/>
        </w:rPr>
        <w:t>. Pakeisti 50 punktą ir jį išdėstyti taip:</w:t>
      </w:r>
    </w:p>
    <w:p w:rsidR="009F09A4" w:rsidRDefault="009D400E">
      <w:pPr>
        <w:spacing w:line="360" w:lineRule="auto"/>
        <w:ind w:firstLine="1276"/>
        <w:jc w:val="both"/>
        <w:rPr>
          <w:szCs w:val="24"/>
          <w:lang w:eastAsia="lt-LT"/>
        </w:rPr>
      </w:pPr>
      <w:r>
        <w:rPr>
          <w:color w:val="000000"/>
          <w:szCs w:val="24"/>
        </w:rPr>
        <w:t>„</w:t>
      </w: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 xml:space="preserve">. Mero pavaduotojo įgaliojimai prasideda nuo Tarybos priimto sprendimo įsigaliojimo datos, jeigu pačiame sprendime nenumatyta vėlesnė įgaliojimų pradžios data.“. </w:t>
      </w:r>
    </w:p>
    <w:p w:rsidR="009F09A4" w:rsidRDefault="009D400E">
      <w:pPr>
        <w:spacing w:line="360" w:lineRule="auto"/>
        <w:ind w:firstLine="127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>. Papildyt</w:t>
      </w:r>
      <w:r>
        <w:rPr>
          <w:szCs w:val="24"/>
          <w:lang w:eastAsia="lt-LT"/>
        </w:rPr>
        <w:t>i 73.21 papunkčiu ir jį išdėstyti taip:</w:t>
      </w:r>
    </w:p>
    <w:p w:rsidR="009F09A4" w:rsidRDefault="009D400E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73.21</w:t>
      </w:r>
      <w:r>
        <w:rPr>
          <w:szCs w:val="24"/>
          <w:lang w:eastAsia="lt-LT"/>
        </w:rPr>
        <w:t xml:space="preserve">. </w:t>
      </w:r>
      <w:r>
        <w:rPr>
          <w:szCs w:val="24"/>
        </w:rPr>
        <w:t xml:space="preserve">teikia komitetams, </w:t>
      </w:r>
      <w:r>
        <w:rPr>
          <w:color w:val="000000"/>
          <w:szCs w:val="24"/>
        </w:rPr>
        <w:t>išskyrus Kontrolės komitetą</w:t>
      </w:r>
      <w:r>
        <w:rPr>
          <w:szCs w:val="24"/>
        </w:rPr>
        <w:t xml:space="preserve">, komitetų pirmininkų </w:t>
      </w:r>
      <w:r>
        <w:rPr>
          <w:color w:val="000000"/>
          <w:szCs w:val="24"/>
        </w:rPr>
        <w:t xml:space="preserve">ir pavaduotojų </w:t>
      </w:r>
      <w:r>
        <w:rPr>
          <w:szCs w:val="24"/>
        </w:rPr>
        <w:t>kandidatūras.“.</w:t>
      </w:r>
    </w:p>
    <w:p w:rsidR="009F09A4" w:rsidRDefault="009D400E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>. Pripažinti netekusiu galios 77.6 papunktį.</w:t>
      </w:r>
    </w:p>
    <w:p w:rsidR="009F09A4" w:rsidRDefault="009D400E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1.7</w:t>
      </w:r>
      <w:r>
        <w:rPr>
          <w:szCs w:val="24"/>
        </w:rPr>
        <w:t xml:space="preserve">. Pakeisti 77.7 papunktį ir jį išdėstyti </w:t>
      </w:r>
      <w:r>
        <w:rPr>
          <w:szCs w:val="24"/>
        </w:rPr>
        <w:t>taip:</w:t>
      </w:r>
    </w:p>
    <w:p w:rsidR="009F09A4" w:rsidRDefault="009D400E">
      <w:pPr>
        <w:spacing w:line="360" w:lineRule="auto"/>
        <w:ind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77.7</w:t>
      </w:r>
      <w:r>
        <w:rPr>
          <w:szCs w:val="24"/>
          <w:lang w:eastAsia="lt-LT"/>
        </w:rPr>
        <w:t>. Tarybos nariai atstovauti Savivaldybę už Savivaldybės ribų siunčiami mero potvarkiu.“.</w:t>
      </w:r>
    </w:p>
    <w:p w:rsidR="009F09A4" w:rsidRDefault="009D400E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  <w:lang w:eastAsia="lt-LT"/>
        </w:rPr>
        <w:t>1.8</w:t>
      </w:r>
      <w:r>
        <w:rPr>
          <w:szCs w:val="24"/>
          <w:lang w:eastAsia="lt-LT"/>
        </w:rPr>
        <w:t>. Pakeisti 237 punktą ir jį išdėstyti taip:</w:t>
      </w:r>
    </w:p>
    <w:p w:rsidR="009F09A4" w:rsidRDefault="009D400E">
      <w:pPr>
        <w:spacing w:line="360" w:lineRule="auto"/>
        <w:ind w:firstLine="127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237</w:t>
      </w:r>
      <w:r>
        <w:rPr>
          <w:szCs w:val="24"/>
          <w:lang w:eastAsia="lt-LT"/>
        </w:rPr>
        <w:t xml:space="preserve">. Mero metinei veiklos ataskaitai pritariama (nepritariama) Tarybos sprendimu. Savivaldybės </w:t>
      </w:r>
      <w:r>
        <w:rPr>
          <w:szCs w:val="24"/>
          <w:lang w:eastAsia="lt-LT"/>
        </w:rPr>
        <w:t xml:space="preserve">administracija sudaro sąlygas gyventojams susipažinti su Savivaldybės ataskaita. Savivaldybės administracijos skyriuje, atsakingame už dokumentų valdymą, kiekvienoje seniūnijoje, viešojoje bibliotekoje ir jos padaliniuose turi būti Savivaldybės ataskaitos </w:t>
      </w:r>
      <w:r>
        <w:rPr>
          <w:szCs w:val="24"/>
          <w:lang w:eastAsia="lt-LT"/>
        </w:rPr>
        <w:t>tekstas, su kuriuo darbo laiku galėtų susipažinti kiekvienas Savivaldybės gyventojas. Informacija apie tai skelbiama Savivaldybės  interneto svetainėje.“.</w:t>
      </w:r>
    </w:p>
    <w:p w:rsidR="009F09A4" w:rsidRPr="009D400E" w:rsidRDefault="009D400E" w:rsidP="009D400E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Paskelbti šį sprendimą Savivaldybės interneto svetainėje ir Teisės aktų registre.</w:t>
      </w:r>
    </w:p>
    <w:p w:rsidR="009D400E" w:rsidRDefault="009D400E">
      <w:pPr>
        <w:spacing w:line="360" w:lineRule="auto"/>
        <w:jc w:val="both"/>
      </w:pPr>
    </w:p>
    <w:p w:rsidR="009D400E" w:rsidRDefault="009D400E">
      <w:pPr>
        <w:spacing w:line="360" w:lineRule="auto"/>
        <w:jc w:val="both"/>
      </w:pPr>
    </w:p>
    <w:p w:rsidR="009D400E" w:rsidRDefault="009D400E">
      <w:pPr>
        <w:spacing w:line="360" w:lineRule="auto"/>
        <w:jc w:val="both"/>
      </w:pPr>
    </w:p>
    <w:p w:rsidR="009F09A4" w:rsidRDefault="009D400E" w:rsidP="009D400E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Sa</w:t>
      </w:r>
      <w:r>
        <w:rPr>
          <w:szCs w:val="24"/>
          <w:lang w:eastAsia="lt-LT"/>
        </w:rPr>
        <w:t xml:space="preserve">vivaldybės meras   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Dainius Bardauskas</w:t>
      </w:r>
    </w:p>
    <w:bookmarkStart w:id="0" w:name="_GoBack" w:displacedByCustomXml="next"/>
    <w:bookmarkEnd w:id="0" w:displacedByCustomXml="next"/>
    <w:sectPr w:rsidR="009F0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A4" w:rsidRDefault="009D400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F09A4" w:rsidRDefault="009D400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A4" w:rsidRDefault="009F09A4">
    <w:pPr>
      <w:tabs>
        <w:tab w:val="center" w:pos="4986"/>
        <w:tab w:val="right" w:pos="9972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A4" w:rsidRDefault="009F09A4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A4" w:rsidRDefault="009F09A4">
    <w:pPr>
      <w:tabs>
        <w:tab w:val="center" w:pos="4986"/>
        <w:tab w:val="right" w:pos="9972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A4" w:rsidRDefault="009D400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F09A4" w:rsidRDefault="009D400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A4" w:rsidRDefault="009F09A4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A4" w:rsidRDefault="009D400E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:rsidR="009F09A4" w:rsidRDefault="009F09A4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A4" w:rsidRDefault="009F09A4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98"/>
    <w:rsid w:val="009D400E"/>
    <w:rsid w:val="009F09A4"/>
    <w:rsid w:val="00A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40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4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D8D8D3-FFEE-4C57-89F8-9518EBA5943A}"/>
      </w:docPartPr>
      <w:docPartBody>
        <w:p w:rsidR="00000000" w:rsidRDefault="00F122C9">
          <w:r w:rsidRPr="000042D3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C9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122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122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2021-05-27T14:01:00Z</dcterms:created>
  <dc:creator>raminta_m</dc:creator>
  <lastModifiedBy>PAPINIGIENĖ Augustė</lastModifiedBy>
  <dcterms:modified xsi:type="dcterms:W3CDTF">2021-05-27T14:10:00Z</dcterms:modified>
  <revision>3</revision>
</coreProperties>
</file>