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rsidR="008D7D8F" w:rsidRPr="00F45BC7" w:rsidRDefault="00E52D39" w:rsidP="00F45BC7">
      <w:pPr>
        <w:suppressAutoHyphens/>
        <w:jc w:val="center"/>
        <w:rPr>
          <w:b/>
          <w:bCs/>
          <w:szCs w:val="24"/>
          <w:lang w:eastAsia="lt-LT"/>
        </w:rPr>
      </w:pPr>
      <w:r w:rsidRPr="00F45BC7">
        <w:rPr>
          <w:rFonts w:ascii="Arial" w:hAnsi="Arial"/>
          <w:noProof/>
          <w:spacing w:val="8"/>
          <w:szCs w:val="24"/>
          <w:lang w:val="en-US"/>
        </w:rPr>
        <w:drawing>
          <wp:inline distT="0" distB="0" distL="0" distR="0">
            <wp:extent cx="521335" cy="624840"/>
            <wp:effectExtent l="19050" t="0" r="0" b="0"/>
            <wp:docPr id="1" name="Picture 1"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7" cstate="print"/>
                    <a:srcRect/>
                    <a:stretch>
                      <a:fillRect/>
                    </a:stretch>
                  </pic:blipFill>
                  <pic:spPr bwMode="auto">
                    <a:xfrm>
                      <a:off x="0" y="0"/>
                      <a:ext cx="521335" cy="624840"/>
                    </a:xfrm>
                    <a:prstGeom prst="rect">
                      <a:avLst/>
                    </a:prstGeom>
                    <a:noFill/>
                    <a:ln w="9525">
                      <a:noFill/>
                      <a:miter lim="800000"/>
                      <a:headEnd/>
                      <a:tailEnd/>
                    </a:ln>
                  </pic:spPr>
                </pic:pic>
              </a:graphicData>
            </a:graphic>
          </wp:inline>
        </w:drawing>
      </w:r>
    </w:p>
    <w:p w:rsidR="008D7D8F" w:rsidRPr="00F45BC7" w:rsidRDefault="008D7D8F" w:rsidP="00F45BC7">
      <w:pPr>
        <w:rPr>
          <w:szCs w:val="24"/>
        </w:rPr>
      </w:pPr>
    </w:p>
    <w:p w:rsidR="008D7D8F" w:rsidRPr="00F45BC7" w:rsidRDefault="00E52D39" w:rsidP="00F45BC7">
      <w:pPr>
        <w:suppressAutoHyphens/>
        <w:jc w:val="center"/>
        <w:rPr>
          <w:b/>
          <w:bCs/>
          <w:szCs w:val="24"/>
          <w:lang w:eastAsia="lt-LT"/>
        </w:rPr>
      </w:pPr>
      <w:r w:rsidRPr="00F45BC7">
        <w:rPr>
          <w:b/>
          <w:bCs/>
          <w:szCs w:val="24"/>
          <w:lang w:eastAsia="lt-LT"/>
        </w:rPr>
        <w:t>LIETUVOS RESPUBLIKOS APLINKOS MINISTRAS</w:t>
      </w:r>
    </w:p>
    <w:p w:rsidR="008D7D8F" w:rsidRPr="00F45BC7" w:rsidRDefault="008D7D8F" w:rsidP="00F45BC7">
      <w:pPr>
        <w:rPr>
          <w:szCs w:val="24"/>
        </w:rPr>
      </w:pPr>
    </w:p>
    <w:p w:rsidR="008D7D8F" w:rsidRPr="00F45BC7" w:rsidRDefault="00E52D39" w:rsidP="00F45BC7">
      <w:pPr>
        <w:suppressAutoHyphens/>
        <w:jc w:val="center"/>
        <w:rPr>
          <w:b/>
          <w:bCs/>
          <w:szCs w:val="24"/>
          <w:lang w:eastAsia="lt-LT"/>
        </w:rPr>
      </w:pPr>
      <w:r w:rsidRPr="00F45BC7">
        <w:rPr>
          <w:b/>
          <w:bCs/>
          <w:szCs w:val="24"/>
          <w:lang w:eastAsia="lt-LT"/>
        </w:rPr>
        <w:t>ĮSAKYMAS</w:t>
      </w:r>
    </w:p>
    <w:p w:rsidR="008D7D8F" w:rsidRPr="00F45BC7" w:rsidRDefault="00E52D39" w:rsidP="00F45BC7">
      <w:pPr>
        <w:keepLines/>
        <w:suppressAutoHyphens/>
        <w:jc w:val="center"/>
        <w:textAlignment w:val="center"/>
        <w:rPr>
          <w:b/>
          <w:bCs/>
          <w:caps/>
          <w:color w:val="000000"/>
          <w:szCs w:val="24"/>
        </w:rPr>
      </w:pPr>
      <w:r w:rsidRPr="00F45BC7">
        <w:rPr>
          <w:b/>
          <w:bCs/>
          <w:caps/>
          <w:color w:val="000000"/>
          <w:szCs w:val="24"/>
        </w:rPr>
        <w:t>DĖL LIETUVOS RESPUBLIKOS APLINKOS MINISTRO 2003 M. BIRŽELIO 11 D. ĮSAKYMO Nr. 289 „DĖL STATYBOS TECHNINIO REGLAMENTO STR 1.01.09:2003 „STATINIŲ KLASIFIKAVIMAS PAGAL JŲ NAUDOJIMO PASKIRTĮ“ PATVIRTINIMO“ PAKEITIMO</w:t>
      </w:r>
    </w:p>
    <w:p w:rsidR="008D7D8F" w:rsidRPr="00F45BC7" w:rsidRDefault="008D7D8F" w:rsidP="00F45BC7">
      <w:pPr>
        <w:suppressAutoHyphens/>
        <w:jc w:val="center"/>
        <w:rPr>
          <w:b/>
          <w:szCs w:val="24"/>
          <w:lang w:eastAsia="lt-LT"/>
        </w:rPr>
      </w:pPr>
    </w:p>
    <w:p w:rsidR="008D7D8F" w:rsidRPr="00F45BC7" w:rsidRDefault="00E52D39" w:rsidP="00F45BC7">
      <w:pPr>
        <w:suppressAutoHyphens/>
        <w:jc w:val="center"/>
        <w:rPr>
          <w:szCs w:val="24"/>
          <w:lang w:eastAsia="lt-LT"/>
        </w:rPr>
      </w:pPr>
      <w:r w:rsidRPr="00F45BC7">
        <w:rPr>
          <w:szCs w:val="24"/>
          <w:lang w:eastAsia="lt-LT"/>
        </w:rPr>
        <w:t>2014 m. spalio 8 d. Nr. D1-815</w:t>
      </w:r>
    </w:p>
    <w:p w:rsidR="008D7D8F" w:rsidRDefault="00E52D39" w:rsidP="00F45BC7">
      <w:pPr>
        <w:suppressAutoHyphens/>
        <w:jc w:val="center"/>
        <w:rPr>
          <w:szCs w:val="24"/>
          <w:lang w:eastAsia="lt-LT"/>
        </w:rPr>
      </w:pPr>
      <w:r w:rsidRPr="00F45BC7">
        <w:rPr>
          <w:szCs w:val="24"/>
          <w:lang w:eastAsia="lt-LT"/>
        </w:rPr>
        <w:t>Vilnius</w:t>
      </w:r>
      <w:r w:rsidRPr="00F45BC7">
        <w:rPr>
          <w:szCs w:val="24"/>
          <w:lang w:eastAsia="lt-LT"/>
        </w:rPr>
        <w:br/>
      </w:r>
    </w:p>
    <w:p w:rsidR="00F45BC7" w:rsidRPr="00F45BC7" w:rsidRDefault="00F45BC7" w:rsidP="00F45BC7">
      <w:pPr>
        <w:suppressAutoHyphens/>
        <w:jc w:val="center"/>
        <w:rPr>
          <w:szCs w:val="24"/>
          <w:lang w:eastAsia="lt-LT"/>
        </w:rPr>
      </w:pPr>
    </w:p>
    <w:p w:rsidR="008D7D8F" w:rsidRPr="00F45BC7" w:rsidRDefault="00E52D39" w:rsidP="00F45BC7">
      <w:pPr>
        <w:suppressAutoHyphens/>
        <w:ind w:firstLine="567"/>
        <w:jc w:val="both"/>
        <w:rPr>
          <w:szCs w:val="24"/>
          <w:lang w:eastAsia="lt-LT"/>
        </w:rPr>
      </w:pPr>
      <w:r w:rsidRPr="00F45BC7">
        <w:rPr>
          <w:szCs w:val="24"/>
          <w:lang w:eastAsia="lt-LT"/>
        </w:rPr>
        <w:t>P a k e i č i u statybos techninį reglamentą STR 1.01.09:2003 „Statinių klasifikavimas pagal jų naudojimo paskirtį“, patvirtintą Lietuvos Respublikos aplinkos ministro 2003 m. birželio 11 d. įsakymu Nr. 289 „Dėl statybos techninio reglamento STR 1.01.09:2003 „Statinių klasifikavimas pagal jų naudojimo paskirtį“ patvirtinimo“:</w:t>
      </w:r>
    </w:p>
    <w:p w:rsidR="008D7D8F" w:rsidRPr="00F45BC7" w:rsidRDefault="007457CD" w:rsidP="00F45BC7">
      <w:pPr>
        <w:suppressAutoHyphens/>
        <w:ind w:firstLine="567"/>
        <w:jc w:val="both"/>
        <w:rPr>
          <w:szCs w:val="24"/>
          <w:lang w:eastAsia="lt-LT"/>
        </w:rPr>
      </w:pPr>
      <w:r w:rsidR="00E52D39" w:rsidRPr="00F45BC7">
        <w:rPr>
          <w:szCs w:val="24"/>
          <w:lang w:eastAsia="lt-LT"/>
        </w:rPr>
        <w:t>1</w:t>
      </w:r>
      <w:r w:rsidR="00E52D39" w:rsidRPr="00F45BC7">
        <w:rPr>
          <w:szCs w:val="24"/>
          <w:lang w:eastAsia="lt-LT"/>
        </w:rPr>
        <w:t>. Pakeičiu 6.2.</w:t>
      </w:r>
      <w:r w:rsidR="00E52D39" w:rsidRPr="00F45BC7">
        <w:rPr>
          <w:szCs w:val="24"/>
          <w:vertAlign w:val="superscript"/>
          <w:lang w:eastAsia="lt-LT"/>
        </w:rPr>
        <w:t xml:space="preserve"> </w:t>
      </w:r>
      <w:r w:rsidR="00E52D39" w:rsidRPr="00F45BC7">
        <w:rPr>
          <w:szCs w:val="24"/>
          <w:lang w:eastAsia="lt-LT"/>
        </w:rPr>
        <w:t>papunktį ir jį išdėstau taip:</w:t>
      </w:r>
    </w:p>
    <w:p w:rsidR="008D7D8F" w:rsidRPr="00F45BC7" w:rsidRDefault="00E52D39" w:rsidP="00F45BC7">
      <w:pPr>
        <w:suppressAutoHyphens/>
        <w:ind w:firstLine="567"/>
        <w:jc w:val="both"/>
        <w:rPr>
          <w:szCs w:val="24"/>
          <w:lang w:eastAsia="lt-LT"/>
        </w:rPr>
      </w:pPr>
      <w:r w:rsidRPr="00F45BC7">
        <w:rPr>
          <w:szCs w:val="24"/>
          <w:lang w:eastAsia="lt-LT"/>
        </w:rPr>
        <w:t>„</w:t>
      </w:r>
      <w:r w:rsidRPr="00F45BC7">
        <w:rPr>
          <w:szCs w:val="24"/>
          <w:lang w:eastAsia="lt-LT"/>
        </w:rPr>
        <w:t>6.2</w:t>
      </w:r>
      <w:r w:rsidRPr="00F45BC7">
        <w:rPr>
          <w:szCs w:val="24"/>
          <w:lang w:eastAsia="lt-LT"/>
        </w:rPr>
        <w:t xml:space="preserve">. </w:t>
      </w:r>
      <w:r w:rsidRPr="00F45BC7">
        <w:rPr>
          <w:b/>
          <w:szCs w:val="24"/>
          <w:lang w:eastAsia="lt-LT"/>
        </w:rPr>
        <w:t>inžineriniai statiniai.</w:t>
      </w:r>
      <w:r w:rsidRPr="00F45BC7">
        <w:rPr>
          <w:szCs w:val="24"/>
          <w:lang w:eastAsia="lt-LT"/>
        </w:rPr>
        <w:t xml:space="preserve"> Inžineriniai statiniai pagal paskirtį skirstomi į grupes:</w:t>
      </w:r>
    </w:p>
    <w:p w:rsidR="008D7D8F" w:rsidRPr="00F45BC7" w:rsidRDefault="007457CD" w:rsidP="00F45BC7">
      <w:pPr>
        <w:suppressAutoHyphens/>
        <w:ind w:firstLine="567"/>
        <w:jc w:val="both"/>
        <w:rPr>
          <w:szCs w:val="24"/>
          <w:lang w:eastAsia="lt-LT"/>
        </w:rPr>
      </w:pPr>
      <w:r w:rsidR="00E52D39" w:rsidRPr="00F45BC7">
        <w:rPr>
          <w:szCs w:val="24"/>
          <w:lang w:eastAsia="lt-LT"/>
        </w:rPr>
        <w:t>6.2.1</w:t>
      </w:r>
      <w:r w:rsidR="00E52D39" w:rsidRPr="00F45BC7">
        <w:rPr>
          <w:szCs w:val="24"/>
          <w:lang w:eastAsia="lt-LT"/>
        </w:rPr>
        <w:t>. susisiekimo komunikacijas;</w:t>
      </w:r>
    </w:p>
    <w:p w:rsidR="008D7D8F" w:rsidRPr="00F45BC7" w:rsidRDefault="007457CD" w:rsidP="00F45BC7">
      <w:pPr>
        <w:suppressAutoHyphens/>
        <w:ind w:firstLine="567"/>
        <w:jc w:val="both"/>
        <w:rPr>
          <w:szCs w:val="24"/>
          <w:lang w:eastAsia="lt-LT"/>
        </w:rPr>
      </w:pPr>
      <w:r w:rsidR="00E52D39" w:rsidRPr="00F45BC7">
        <w:rPr>
          <w:szCs w:val="24"/>
          <w:lang w:eastAsia="lt-LT"/>
        </w:rPr>
        <w:t>6.2.2</w:t>
      </w:r>
      <w:r w:rsidR="00E52D39" w:rsidRPr="00F45BC7">
        <w:rPr>
          <w:szCs w:val="24"/>
          <w:lang w:eastAsia="lt-LT"/>
        </w:rPr>
        <w:t>. inžinerinius tinklus;</w:t>
      </w:r>
    </w:p>
    <w:p w:rsidR="008D7D8F" w:rsidRPr="00F45BC7" w:rsidRDefault="007457CD" w:rsidP="00F45BC7">
      <w:pPr>
        <w:suppressAutoHyphens/>
        <w:ind w:firstLine="567"/>
        <w:jc w:val="both"/>
        <w:rPr>
          <w:b/>
          <w:szCs w:val="24"/>
          <w:lang w:eastAsia="lt-LT"/>
        </w:rPr>
      </w:pPr>
      <w:r w:rsidR="00E52D39" w:rsidRPr="00F45BC7">
        <w:rPr>
          <w:szCs w:val="24"/>
          <w:lang w:eastAsia="lt-LT"/>
        </w:rPr>
        <w:t>6.2.3</w:t>
      </w:r>
      <w:r w:rsidR="00E52D39" w:rsidRPr="00F45BC7">
        <w:rPr>
          <w:szCs w:val="24"/>
          <w:lang w:eastAsia="lt-LT"/>
        </w:rPr>
        <w:t>. hidrotechnikos statinius;</w:t>
      </w:r>
    </w:p>
    <w:p w:rsidR="008D7D8F" w:rsidRPr="00F45BC7" w:rsidRDefault="007457CD" w:rsidP="00F45BC7">
      <w:pPr>
        <w:suppressAutoHyphens/>
        <w:ind w:firstLine="567"/>
        <w:jc w:val="both"/>
        <w:rPr>
          <w:szCs w:val="24"/>
          <w:lang w:eastAsia="lt-LT"/>
        </w:rPr>
      </w:pPr>
      <w:r w:rsidR="00E52D39" w:rsidRPr="00F45BC7">
        <w:rPr>
          <w:szCs w:val="24"/>
          <w:lang w:eastAsia="lt-LT"/>
        </w:rPr>
        <w:t>6.2.4</w:t>
      </w:r>
      <w:r w:rsidR="00E52D39" w:rsidRPr="00F45BC7">
        <w:rPr>
          <w:szCs w:val="24"/>
          <w:lang w:eastAsia="lt-LT"/>
        </w:rPr>
        <w:t>. kitus inžinerinius statinius.“</w:t>
      </w:r>
    </w:p>
    <w:p w:rsidR="008D7D8F" w:rsidRPr="00F45BC7" w:rsidRDefault="007457CD" w:rsidP="00F45BC7">
      <w:pPr>
        <w:suppressAutoHyphens/>
        <w:ind w:firstLine="567"/>
        <w:jc w:val="both"/>
        <w:rPr>
          <w:szCs w:val="24"/>
          <w:lang w:eastAsia="lt-LT"/>
        </w:rPr>
      </w:pPr>
      <w:r w:rsidR="00E52D39" w:rsidRPr="00F45BC7">
        <w:rPr>
          <w:szCs w:val="24"/>
          <w:lang w:eastAsia="lt-LT"/>
        </w:rPr>
        <w:t>2</w:t>
      </w:r>
      <w:r w:rsidR="00E52D39" w:rsidRPr="00F45BC7">
        <w:rPr>
          <w:szCs w:val="24"/>
          <w:lang w:eastAsia="lt-LT"/>
        </w:rPr>
        <w:t>. Pakeičiu 9.5 papunktį ir jį išdėstau taip:</w:t>
      </w:r>
    </w:p>
    <w:p w:rsidR="008D7D8F" w:rsidRPr="00F45BC7" w:rsidRDefault="00E52D39" w:rsidP="00F45BC7">
      <w:pPr>
        <w:suppressAutoHyphens/>
        <w:ind w:firstLine="567"/>
        <w:jc w:val="both"/>
        <w:rPr>
          <w:szCs w:val="24"/>
          <w:lang w:eastAsia="lt-LT"/>
        </w:rPr>
      </w:pPr>
      <w:r w:rsidRPr="00F45BC7">
        <w:rPr>
          <w:szCs w:val="24"/>
          <w:lang w:eastAsia="lt-LT"/>
        </w:rPr>
        <w:t>„</w:t>
      </w:r>
      <w:r w:rsidRPr="00F45BC7">
        <w:rPr>
          <w:szCs w:val="24"/>
          <w:lang w:eastAsia="lt-LT"/>
        </w:rPr>
        <w:t>9.5</w:t>
      </w:r>
      <w:r w:rsidRPr="00F45BC7">
        <w:rPr>
          <w:szCs w:val="24"/>
          <w:lang w:eastAsia="lt-LT"/>
        </w:rPr>
        <w:t xml:space="preserve">. </w:t>
      </w:r>
      <w:r w:rsidRPr="00F45BC7">
        <w:rPr>
          <w:b/>
          <w:szCs w:val="24"/>
          <w:lang w:eastAsia="lt-LT"/>
        </w:rPr>
        <w:t>vandens uostų</w:t>
      </w:r>
      <w:r w:rsidRPr="00F45BC7">
        <w:rPr>
          <w:szCs w:val="24"/>
          <w:lang w:eastAsia="lt-LT"/>
        </w:rPr>
        <w:t xml:space="preserve"> </w:t>
      </w:r>
      <w:r w:rsidRPr="00F45BC7">
        <w:rPr>
          <w:b/>
          <w:szCs w:val="24"/>
          <w:lang w:eastAsia="lt-LT"/>
        </w:rPr>
        <w:t>statiniai</w:t>
      </w:r>
      <w:r w:rsidRPr="00F45BC7">
        <w:rPr>
          <w:szCs w:val="24"/>
          <w:lang w:eastAsia="lt-LT"/>
        </w:rPr>
        <w:t xml:space="preserve"> – vandens uostų krantinės, elingai, dokai, prieplaukų statiniai, molai, atitveriamos</w:t>
      </w:r>
      <w:r w:rsidRPr="00F45BC7">
        <w:rPr>
          <w:b/>
          <w:szCs w:val="24"/>
          <w:lang w:eastAsia="lt-LT"/>
        </w:rPr>
        <w:t xml:space="preserve"> </w:t>
      </w:r>
      <w:r w:rsidRPr="00F45BC7">
        <w:rPr>
          <w:szCs w:val="24"/>
          <w:lang w:eastAsia="lt-LT"/>
        </w:rPr>
        <w:t>dambos, šalivagės ir kiti inžineriniai statiniai [4.13];“.</w:t>
      </w:r>
    </w:p>
    <w:p w:rsidR="008D7D8F" w:rsidRDefault="007457CD" w:rsidP="00F45BC7">
      <w:pPr>
        <w:suppressAutoHyphens/>
        <w:ind w:firstLine="567"/>
        <w:jc w:val="both"/>
        <w:rPr>
          <w:szCs w:val="24"/>
          <w:lang w:eastAsia="lt-LT"/>
        </w:rPr>
      </w:pPr>
      <w:r w:rsidR="00E52D39" w:rsidRPr="00F45BC7">
        <w:rPr>
          <w:szCs w:val="24"/>
          <w:lang w:eastAsia="lt-LT"/>
        </w:rPr>
        <w:t>3</w:t>
      </w:r>
      <w:r w:rsidR="00E52D39" w:rsidRPr="00F45BC7">
        <w:rPr>
          <w:szCs w:val="24"/>
          <w:lang w:eastAsia="lt-LT"/>
        </w:rPr>
        <w:t>. Pakeičiu IX skyriaus pavadinimą ir jį išdėstau taip:</w:t>
      </w:r>
    </w:p>
    <w:p w:rsidR="008D7D8F" w:rsidRPr="00F45BC7" w:rsidRDefault="00E52D39" w:rsidP="00F45BC7">
      <w:pPr>
        <w:suppressAutoHyphens/>
        <w:ind w:firstLine="567"/>
        <w:jc w:val="both"/>
        <w:rPr>
          <w:szCs w:val="24"/>
          <w:lang w:eastAsia="lt-LT"/>
        </w:rPr>
      </w:pPr>
      <w:r w:rsidRPr="00F45BC7">
        <w:rPr>
          <w:szCs w:val="24"/>
          <w:lang w:eastAsia="lt-LT"/>
        </w:rPr>
        <w:t>„</w:t>
      </w:r>
      <w:r w:rsidRPr="00F45BC7">
        <w:rPr>
          <w:szCs w:val="24"/>
          <w:lang w:eastAsia="lt-LT"/>
        </w:rPr>
        <w:t>IX</w:t>
      </w:r>
      <w:r w:rsidRPr="00F45BC7">
        <w:rPr>
          <w:szCs w:val="24"/>
          <w:lang w:eastAsia="lt-LT"/>
        </w:rPr>
        <w:t xml:space="preserve"> </w:t>
      </w:r>
      <w:r w:rsidRPr="00F45BC7">
        <w:rPr>
          <w:szCs w:val="24"/>
          <w:lang w:eastAsia="lt-LT"/>
        </w:rPr>
        <w:t>HIDROTECHNIKOS STATINIAI</w:t>
      </w:r>
      <w:r w:rsidRPr="00F45BC7">
        <w:rPr>
          <w:b/>
          <w:szCs w:val="24"/>
          <w:lang w:eastAsia="lt-LT"/>
        </w:rPr>
        <w:t xml:space="preserve"> </w:t>
      </w:r>
      <w:r w:rsidRPr="00F45BC7">
        <w:rPr>
          <w:szCs w:val="24"/>
          <w:lang w:eastAsia="lt-LT"/>
        </w:rPr>
        <w:t>“</w:t>
      </w:r>
    </w:p>
    <w:p w:rsidR="008D7D8F" w:rsidRPr="00F45BC7" w:rsidRDefault="007457CD" w:rsidP="00F45BC7">
      <w:pPr>
        <w:suppressAutoHyphens/>
        <w:ind w:firstLine="567"/>
        <w:jc w:val="both"/>
        <w:rPr>
          <w:szCs w:val="24"/>
          <w:lang w:eastAsia="lt-LT"/>
        </w:rPr>
      </w:pPr>
      <w:r w:rsidR="00E52D39" w:rsidRPr="00F45BC7">
        <w:rPr>
          <w:szCs w:val="24"/>
          <w:lang w:eastAsia="lt-LT"/>
        </w:rPr>
        <w:t>4</w:t>
      </w:r>
      <w:r w:rsidR="00E52D39" w:rsidRPr="00F45BC7">
        <w:rPr>
          <w:szCs w:val="24"/>
          <w:lang w:eastAsia="lt-LT"/>
        </w:rPr>
        <w:t>. Pripažįstu netekusiu galios 11.9 punktą.</w:t>
      </w:r>
    </w:p>
    <w:p w:rsidR="008D7D8F" w:rsidRPr="00F45BC7" w:rsidRDefault="007457CD" w:rsidP="00F45BC7">
      <w:pPr>
        <w:suppressAutoHyphens/>
        <w:ind w:firstLine="567"/>
        <w:rPr>
          <w:szCs w:val="24"/>
          <w:lang w:eastAsia="lt-LT"/>
        </w:rPr>
      </w:pPr>
      <w:r w:rsidR="00E52D39" w:rsidRPr="00F45BC7">
        <w:rPr>
          <w:szCs w:val="24"/>
          <w:lang w:eastAsia="lt-LT"/>
        </w:rPr>
        <w:t>5</w:t>
      </w:r>
      <w:r w:rsidR="00E52D39" w:rsidRPr="00F45BC7">
        <w:rPr>
          <w:szCs w:val="24"/>
          <w:lang w:eastAsia="lt-LT"/>
        </w:rPr>
        <w:t>. Pakeičiu 11.14 papunktį ir jį išdėstau taip:</w:t>
      </w:r>
    </w:p>
    <w:p w:rsidR="008D7D8F" w:rsidRPr="00F45BC7" w:rsidRDefault="00E52D39" w:rsidP="00F45BC7">
      <w:pPr>
        <w:suppressAutoHyphens/>
        <w:ind w:firstLine="709"/>
        <w:jc w:val="both"/>
        <w:rPr>
          <w:b/>
          <w:szCs w:val="24"/>
        </w:rPr>
      </w:pPr>
      <w:r w:rsidRPr="00F45BC7">
        <w:rPr>
          <w:rFonts w:ascii="TimesLT" w:hAnsi="TimesLT"/>
          <w:szCs w:val="24"/>
          <w:lang w:val="en-US"/>
        </w:rPr>
        <w:t>„</w:t>
      </w:r>
      <w:r w:rsidRPr="00F45BC7">
        <w:rPr>
          <w:szCs w:val="24"/>
        </w:rPr>
        <w:t>11.14</w:t>
      </w:r>
      <w:r w:rsidRPr="00F45BC7">
        <w:rPr>
          <w:szCs w:val="24"/>
        </w:rPr>
        <w:t xml:space="preserve">. </w:t>
      </w:r>
      <w:r w:rsidRPr="00F45BC7">
        <w:rPr>
          <w:b/>
          <w:szCs w:val="24"/>
        </w:rPr>
        <w:t>melioracijos statiniai</w:t>
      </w:r>
      <w:r w:rsidRPr="00F45BC7">
        <w:rPr>
          <w:szCs w:val="24"/>
        </w:rPr>
        <w:t xml:space="preserve"> – skirti vandens ištekliams naudoti bei aplinkai nuo žalingo vandens poveikio saugoti [4.13];“</w:t>
      </w:r>
    </w:p>
    <w:p w:rsidR="008D7D8F" w:rsidRPr="00F45BC7" w:rsidRDefault="007457CD" w:rsidP="00F45BC7">
      <w:pPr>
        <w:suppressAutoHyphens/>
        <w:ind w:firstLine="567"/>
        <w:rPr>
          <w:szCs w:val="24"/>
          <w:lang w:eastAsia="lt-LT"/>
        </w:rPr>
      </w:pPr>
      <w:r w:rsidR="00E52D39" w:rsidRPr="00F45BC7">
        <w:rPr>
          <w:szCs w:val="24"/>
          <w:lang w:eastAsia="lt-LT"/>
        </w:rPr>
        <w:t>6</w:t>
      </w:r>
      <w:r w:rsidR="00E52D39" w:rsidRPr="00F45BC7">
        <w:rPr>
          <w:szCs w:val="24"/>
          <w:lang w:eastAsia="lt-LT"/>
        </w:rPr>
        <w:t>. Papildau 11.15 papunkčiu:</w:t>
      </w:r>
    </w:p>
    <w:p w:rsidR="008D7D8F" w:rsidRPr="00F45BC7" w:rsidRDefault="00E52D39" w:rsidP="00F45BC7">
      <w:pPr>
        <w:suppressAutoHyphens/>
        <w:ind w:firstLine="567"/>
        <w:rPr>
          <w:szCs w:val="24"/>
          <w:lang w:eastAsia="lt-LT"/>
        </w:rPr>
      </w:pPr>
      <w:r w:rsidRPr="00F45BC7">
        <w:rPr>
          <w:szCs w:val="24"/>
          <w:lang w:eastAsia="lt-LT"/>
        </w:rPr>
        <w:t>„</w:t>
      </w:r>
      <w:r w:rsidRPr="00F45BC7">
        <w:rPr>
          <w:szCs w:val="24"/>
          <w:lang w:eastAsia="lt-LT"/>
        </w:rPr>
        <w:t>11.15</w:t>
      </w:r>
      <w:r w:rsidRPr="00F45BC7">
        <w:rPr>
          <w:szCs w:val="24"/>
          <w:lang w:eastAsia="lt-LT"/>
        </w:rPr>
        <w:t>. kiti hidrotechnikos statinių požymius atitinkantys inžineriniai statiniai [4.13].“</w:t>
      </w:r>
    </w:p>
    <w:p w:rsidR="008D7D8F" w:rsidRPr="00F45BC7" w:rsidRDefault="007457CD" w:rsidP="00F45BC7">
      <w:pPr>
        <w:suppressAutoHyphens/>
        <w:ind w:firstLine="567"/>
        <w:rPr>
          <w:szCs w:val="24"/>
          <w:lang w:eastAsia="lt-LT"/>
        </w:rPr>
      </w:pPr>
      <w:r w:rsidR="00E52D39" w:rsidRPr="00F45BC7">
        <w:rPr>
          <w:szCs w:val="24"/>
          <w:lang w:eastAsia="lt-LT"/>
        </w:rPr>
        <w:t>7</w:t>
      </w:r>
      <w:r w:rsidR="00E52D39" w:rsidRPr="00F45BC7">
        <w:rPr>
          <w:szCs w:val="24"/>
          <w:lang w:eastAsia="lt-LT"/>
        </w:rPr>
        <w:t>. Pripažįstu netekusiu galios 12 punktą.</w:t>
      </w:r>
    </w:p>
    <w:p w:rsidR="008D7D8F" w:rsidRPr="00F45BC7" w:rsidRDefault="007457CD" w:rsidP="00F45BC7">
      <w:pPr>
        <w:suppressAutoHyphens/>
        <w:ind w:firstLine="567"/>
        <w:rPr>
          <w:szCs w:val="24"/>
          <w:lang w:eastAsia="lt-LT"/>
        </w:rPr>
      </w:pPr>
      <w:r w:rsidR="00E52D39" w:rsidRPr="00F45BC7">
        <w:rPr>
          <w:szCs w:val="24"/>
          <w:lang w:eastAsia="lt-LT"/>
        </w:rPr>
        <w:t>8</w:t>
      </w:r>
      <w:r w:rsidR="00E52D39" w:rsidRPr="00F45BC7">
        <w:rPr>
          <w:szCs w:val="24"/>
          <w:lang w:eastAsia="lt-LT"/>
        </w:rPr>
        <w:t>. Pripažįstu netekusiu galios 13 punktą.</w:t>
      </w:r>
    </w:p>
    <w:p w:rsidR="008D7D8F" w:rsidRPr="00F45BC7" w:rsidRDefault="007457CD" w:rsidP="00F45BC7">
      <w:pPr>
        <w:suppressAutoHyphens/>
        <w:ind w:firstLine="567"/>
        <w:rPr>
          <w:szCs w:val="24"/>
          <w:lang w:eastAsia="lt-LT"/>
        </w:rPr>
      </w:pPr>
      <w:r w:rsidR="00E52D39" w:rsidRPr="00F45BC7">
        <w:rPr>
          <w:szCs w:val="24"/>
          <w:lang w:eastAsia="lt-LT"/>
        </w:rPr>
        <w:t>9</w:t>
      </w:r>
      <w:r w:rsidR="00E52D39" w:rsidRPr="00F45BC7">
        <w:rPr>
          <w:szCs w:val="24"/>
          <w:lang w:eastAsia="lt-LT"/>
        </w:rPr>
        <w:t>. Papildau IX</w:t>
      </w:r>
      <w:r w:rsidR="00E52D39" w:rsidRPr="00F45BC7">
        <w:rPr>
          <w:szCs w:val="24"/>
          <w:vertAlign w:val="superscript"/>
          <w:lang w:eastAsia="lt-LT"/>
        </w:rPr>
        <w:t xml:space="preserve">1 </w:t>
      </w:r>
      <w:r w:rsidR="00E52D39" w:rsidRPr="00F45BC7">
        <w:rPr>
          <w:szCs w:val="24"/>
          <w:lang w:eastAsia="lt-LT"/>
        </w:rPr>
        <w:t>skyriumi ir jį išdėstau taip:</w:t>
      </w:r>
    </w:p>
    <w:p w:rsidR="008D7D8F" w:rsidRPr="00F45BC7" w:rsidRDefault="00E52D39" w:rsidP="00F45BC7">
      <w:pPr>
        <w:suppressAutoHyphens/>
        <w:ind w:left="567" w:firstLine="567"/>
        <w:jc w:val="center"/>
        <w:rPr>
          <w:szCs w:val="24"/>
          <w:lang w:eastAsia="lt-LT"/>
        </w:rPr>
      </w:pPr>
      <w:r w:rsidRPr="00F45BC7">
        <w:rPr>
          <w:szCs w:val="24"/>
          <w:lang w:eastAsia="lt-LT"/>
        </w:rPr>
        <w:t xml:space="preserve">„ </w:t>
      </w:r>
      <w:r w:rsidRPr="00F45BC7">
        <w:rPr>
          <w:b/>
          <w:szCs w:val="24"/>
          <w:lang w:eastAsia="lt-LT"/>
        </w:rPr>
        <w:t>IX</w:t>
      </w:r>
      <w:r w:rsidRPr="00F45BC7">
        <w:rPr>
          <w:b/>
          <w:szCs w:val="24"/>
          <w:vertAlign w:val="superscript"/>
          <w:lang w:eastAsia="lt-LT"/>
        </w:rPr>
        <w:t>1</w:t>
      </w:r>
      <w:r w:rsidRPr="00F45BC7">
        <w:rPr>
          <w:b/>
          <w:szCs w:val="24"/>
          <w:vertAlign w:val="superscript"/>
          <w:lang w:eastAsia="lt-LT"/>
        </w:rPr>
        <w:t xml:space="preserve"> </w:t>
      </w:r>
      <w:r w:rsidRPr="00F45BC7">
        <w:rPr>
          <w:b/>
          <w:szCs w:val="24"/>
          <w:lang w:eastAsia="lt-LT"/>
        </w:rPr>
        <w:t>KITI INŽINERINIAI STATINIAI</w:t>
      </w:r>
    </w:p>
    <w:p w:rsidR="008D7D8F" w:rsidRPr="00F45BC7" w:rsidRDefault="007457CD" w:rsidP="00F45BC7">
      <w:pPr>
        <w:suppressAutoHyphens/>
        <w:ind w:firstLine="567"/>
        <w:jc w:val="both"/>
        <w:rPr>
          <w:szCs w:val="24"/>
          <w:lang w:eastAsia="lt-LT"/>
        </w:rPr>
      </w:pPr>
      <w:r w:rsidR="00E52D39" w:rsidRPr="00F45BC7">
        <w:rPr>
          <w:szCs w:val="24"/>
          <w:lang w:eastAsia="lt-LT"/>
        </w:rPr>
        <w:t>12</w:t>
      </w:r>
      <w:r w:rsidR="00E52D39" w:rsidRPr="00F45BC7">
        <w:rPr>
          <w:szCs w:val="24"/>
          <w:lang w:eastAsia="lt-LT"/>
        </w:rPr>
        <w:t xml:space="preserve">. </w:t>
      </w:r>
      <w:r w:rsidR="00E52D39" w:rsidRPr="00F45BC7">
        <w:rPr>
          <w:b/>
          <w:szCs w:val="24"/>
          <w:lang w:eastAsia="lt-LT"/>
        </w:rPr>
        <w:t>Sporto paskirties inžineriniai statiniai</w:t>
      </w:r>
      <w:r w:rsidR="00E52D39" w:rsidRPr="00F45BC7">
        <w:rPr>
          <w:szCs w:val="24"/>
          <w:lang w:eastAsia="lt-LT"/>
        </w:rPr>
        <w:t xml:space="preserve"> − sporto aikštynai, naudojami žaidimams atvirame ore (futbolui, krepšiniui, beisbolui, regbiui, vandens sportui ir panašiai), mašinų, dviračių ar arklių lenktynių keliai ir kiti inžineriniai statiniai, kurie nėra pastatai [4.13].</w:t>
      </w:r>
    </w:p>
    <w:p w:rsidR="008D7D8F" w:rsidRPr="00F45BC7" w:rsidRDefault="007457CD" w:rsidP="00F45BC7">
      <w:pPr>
        <w:suppressAutoHyphens/>
        <w:ind w:firstLine="567"/>
        <w:jc w:val="both"/>
        <w:rPr>
          <w:b/>
          <w:szCs w:val="24"/>
          <w:lang w:eastAsia="lt-LT"/>
        </w:rPr>
      </w:pPr>
      <w:r w:rsidR="00E52D39" w:rsidRPr="00F45BC7">
        <w:rPr>
          <w:szCs w:val="24"/>
          <w:lang w:eastAsia="lt-LT"/>
        </w:rPr>
        <w:t>13</w:t>
      </w:r>
      <w:r w:rsidR="00E52D39" w:rsidRPr="00F45BC7">
        <w:rPr>
          <w:szCs w:val="24"/>
          <w:lang w:eastAsia="lt-LT"/>
        </w:rPr>
        <w:t xml:space="preserve">. </w:t>
      </w:r>
      <w:r w:rsidR="00E52D39" w:rsidRPr="00F45BC7">
        <w:rPr>
          <w:b/>
          <w:szCs w:val="24"/>
          <w:lang w:eastAsia="lt-LT"/>
        </w:rPr>
        <w:t>Kitos paskirties inžineriniai statiniai</w:t>
      </w:r>
      <w:r w:rsidR="00E52D39" w:rsidRPr="00F45BC7">
        <w:rPr>
          <w:szCs w:val="24"/>
          <w:lang w:eastAsia="lt-LT"/>
        </w:rPr>
        <w:t xml:space="preserve"> − fortai, bunkeriai, šaudyklos, techniniai stebėjimo bokštai, sąvartynai, atsinaujinančių išteklių energiją naudojantys energijos gamybos statiniai (vėjo elektrinės, saulės šviesos energijos elektrinės ir kiti), transporterių galerijos, estrados, nuotekų valyklos statiniai ir kiti inžineriniai statiniai, neturintys aiškios funkcinės priklausomybės ar apibrėžto naudojimo, kurie tarnauja pagrindiniam daiktui (tvoros, kiemo </w:t>
      </w:r>
      <w:r w:rsidR="00E52D39" w:rsidRPr="00F45BC7">
        <w:rPr>
          <w:szCs w:val="24"/>
          <w:lang w:eastAsia="lt-LT"/>
        </w:rPr>
        <w:lastRenderedPageBreak/>
        <w:t>aikštelės, stoginės, pavėsinės, atraminės sienutės, šachtiniai šuliniai, lieptai, mėšlidės, aplinkos tvarkymo elementai ir panašiai) [4.13].“</w:t>
      </w:r>
    </w:p>
    <w:p w:rsidR="00E52D39" w:rsidRPr="00F45BC7" w:rsidRDefault="00E52D39" w:rsidP="00F45BC7">
      <w:pPr>
        <w:tabs>
          <w:tab w:val="left" w:pos="4825"/>
        </w:tabs>
        <w:suppressAutoHyphens/>
        <w:ind w:left="8" w:right="34"/>
        <w:rPr>
          <w:szCs w:val="24"/>
        </w:rPr>
      </w:pPr>
    </w:p>
    <w:p w:rsidR="00E52D39" w:rsidRPr="00F45BC7" w:rsidRDefault="00E52D39" w:rsidP="00F45BC7">
      <w:pPr>
        <w:tabs>
          <w:tab w:val="left" w:pos="4825"/>
        </w:tabs>
        <w:suppressAutoHyphens/>
        <w:ind w:left="8" w:right="34"/>
        <w:rPr>
          <w:szCs w:val="24"/>
        </w:rPr>
      </w:pPr>
    </w:p>
    <w:p w:rsidR="00E52D39" w:rsidRPr="00F45BC7" w:rsidRDefault="00E52D39" w:rsidP="00F45BC7">
      <w:pPr>
        <w:tabs>
          <w:tab w:val="left" w:pos="4825"/>
        </w:tabs>
        <w:suppressAutoHyphens/>
        <w:ind w:left="8" w:right="34"/>
        <w:rPr>
          <w:szCs w:val="24"/>
        </w:rPr>
      </w:pPr>
    </w:p>
    <w:p w:rsidR="008D7D8F" w:rsidRPr="00F45BC7" w:rsidRDefault="00E52D39" w:rsidP="00F45BC7">
      <w:pPr>
        <w:tabs>
          <w:tab w:val="left" w:pos="4825"/>
        </w:tabs>
        <w:suppressAutoHyphens/>
        <w:ind w:left="8" w:right="34"/>
        <w:rPr>
          <w:szCs w:val="24"/>
          <w:lang w:eastAsia="lt-LT"/>
        </w:rPr>
      </w:pPr>
      <w:bookmarkStart w:id="0" w:name="_GoBack"/>
      <w:bookmarkEnd w:id="0"/>
      <w:r w:rsidRPr="00F45BC7">
        <w:rPr>
          <w:szCs w:val="24"/>
          <w:lang w:eastAsia="lt-LT"/>
        </w:rPr>
        <w:t>Aplinkos ministras</w:t>
      </w:r>
      <w:r w:rsidRPr="00F45BC7">
        <w:rPr>
          <w:szCs w:val="24"/>
          <w:lang w:eastAsia="lt-LT"/>
        </w:rPr>
        <w:tab/>
      </w:r>
      <w:r w:rsidRPr="00F45BC7">
        <w:rPr>
          <w:szCs w:val="24"/>
          <w:lang w:eastAsia="lt-LT"/>
        </w:rPr>
        <w:tab/>
      </w:r>
      <w:r w:rsidRPr="00F45BC7">
        <w:rPr>
          <w:szCs w:val="24"/>
          <w:lang w:eastAsia="lt-LT"/>
        </w:rPr>
        <w:tab/>
      </w:r>
      <w:r w:rsidRPr="00F45BC7">
        <w:rPr>
          <w:szCs w:val="24"/>
          <w:lang w:eastAsia="lt-LT"/>
        </w:rPr>
        <w:tab/>
        <w:t>Kęstutis Trečiokas</w:t>
      </w:r>
    </w:p>
    <w:sectPr w:rsidR="008D7D8F" w:rsidRPr="00F45BC7" w:rsidSect="007457CD">
      <w:footnotePr>
        <w:pos w:val="beneathText"/>
      </w:footnotePr>
      <w:type w:val="continuous"/>
      <w:pgSz w:w="11905" w:h="16837"/>
      <w:pgMar w:top="2093" w:right="708" w:bottom="1032" w:left="1701" w:header="1142" w:footer="919" w:gutter="0"/>
      <w:cols w:space="1296"/>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D8F" w:rsidRDefault="00E52D39">
      <w:pPr>
        <w:suppressAutoHyphens/>
        <w:rPr>
          <w:lang w:eastAsia="lt-LT"/>
        </w:rPr>
      </w:pPr>
      <w:r>
        <w:rPr>
          <w:lang w:eastAsia="lt-LT"/>
        </w:rPr>
        <w:separator/>
      </w:r>
    </w:p>
  </w:endnote>
  <w:endnote w:type="continuationSeparator" w:id="0">
    <w:p w:rsidR="008D7D8F" w:rsidRDefault="00E52D39">
      <w:pPr>
        <w:suppressAutoHyphens/>
        <w:rPr>
          <w:lang w:eastAsia="lt-LT"/>
        </w:rPr>
      </w:pPr>
      <w:r>
        <w:rPr>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D8F" w:rsidRDefault="00E52D39">
      <w:pPr>
        <w:suppressAutoHyphens/>
        <w:rPr>
          <w:lang w:eastAsia="lt-LT"/>
        </w:rPr>
      </w:pPr>
      <w:r>
        <w:rPr>
          <w:lang w:eastAsia="lt-LT"/>
        </w:rPr>
        <w:separator/>
      </w:r>
    </w:p>
  </w:footnote>
  <w:footnote w:type="continuationSeparator" w:id="0">
    <w:p w:rsidR="008D7D8F" w:rsidRDefault="00E52D39">
      <w:pPr>
        <w:suppressAutoHyphens/>
        <w:rPr>
          <w:lang w:eastAsia="lt-LT"/>
        </w:rPr>
      </w:pPr>
      <w:r>
        <w:rPr>
          <w:lang w:eastAsia="lt-LT"/>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7"/>
  </w:hdrShapeDefaults>
  <w:footnotePr>
    <w:pos w:val="beneathText"/>
    <w:footnote w:id="-1"/>
    <w:footnote w:id="0"/>
  </w:footnotePr>
  <w:endnotePr>
    <w:endnote w:id="-1"/>
    <w:endnote w:id="0"/>
  </w:endnotePr>
  <w:compat/>
  <w:rsids>
    <w:rsidRoot w:val="00616992"/>
    <w:rsid w:val="00616992"/>
    <w:rsid w:val="007457CD"/>
    <w:rsid w:val="008D7D8F"/>
    <w:rsid w:val="00E52D39"/>
    <w:rsid w:val="00F45BC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7457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457CD"/>
    <w:rPr>
      <w:rFonts w:ascii="Tahoma" w:hAnsi="Tahoma" w:cs="Tahoma"/>
      <w:sz w:val="16"/>
      <w:szCs w:val="16"/>
    </w:rPr>
  </w:style>
  <w:style w:type="character" w:customStyle="1" w:styleId="BalloonTextChar">
    <w:name w:val="Balloon Text Char"/>
    <w:basedOn w:val="DefaultParagraphFont"/>
    <w:link w:val="BalloonText"/>
    <w:rsid w:val="007457CD"/>
    <w:rPr>
      <w:rFonts w:ascii="Tahoma" w:hAnsi="Tahoma" w:cs="Tahoma"/>
      <w:sz w:val="16"/>
      <w:szCs w:val="16"/>
    </w:rPr>
  </w:style>
  <w:style w:type="character" w:styleId="PlaceholderText">
    <w:name w:val="Placeholder Text"/>
    <w:basedOn w:val="DefaultParagraphFont"/>
    <w:rsid w:val="00F45BC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4614451">
      <w:bodyDiv w:val="1"/>
      <w:marLeft w:val="0"/>
      <w:marRight w:val="0"/>
      <w:marTop w:val="0"/>
      <w:marBottom w:val="0"/>
      <w:divBdr>
        <w:top w:val="none" w:sz="0" w:space="0" w:color="auto"/>
        <w:left w:val="none" w:sz="0" w:space="0" w:color="auto"/>
        <w:bottom w:val="none" w:sz="0" w:space="0" w:color="auto"/>
        <w:right w:val="none" w:sz="0" w:space="0" w:color="auto"/>
      </w:divBdr>
    </w:div>
    <w:div w:id="1653636804">
      <w:bodyDiv w:val="1"/>
      <w:marLeft w:val="0"/>
      <w:marRight w:val="0"/>
      <w:marTop w:val="0"/>
      <w:marBottom w:val="0"/>
      <w:divBdr>
        <w:top w:val="none" w:sz="0" w:space="0" w:color="auto"/>
        <w:left w:val="none" w:sz="0" w:space="0" w:color="auto"/>
        <w:bottom w:val="none" w:sz="0" w:space="0" w:color="auto"/>
        <w:right w:val="none" w:sz="0" w:space="0" w:color="auto"/>
      </w:divBdr>
    </w:div>
    <w:div w:id="178954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theme" Target="theme/theme1.xml"/>
  <Relationship Id="rId11" Type="http://schemas.microsoft.com/office/2007/relationships/stylesWithEffects" Target="stylesWithEffects.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fontTable" Target="fontTable.xml"/>
  <Relationship Id="rId9" Type="http://schemas.openxmlformats.org/officeDocument/2006/relationships/glossaryDocument" Target="glossary/document.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E698E"/>
    <w:rsid w:val="008E6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E698E"/>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2339</Characters>
  <Application>Microsoft Office Word</Application>
  <DocSecurity>0</DocSecurity>
  <Lines>19</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2744</CharactersWithSpaces>
  <SharedDoc>false</SharedDoc>
  <HyperlinkBase/>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2014-10-10T08:27:00Z</dcterms:created>
  <dcterms:modified xsi:type="dcterms:W3CDTF">2016-04-06T14:52:00Z</dcterms:modified>
  <revision>1</revision>
</coreProperties>
</file>