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88557" w14:textId="77777777" w:rsidR="001A1A75" w:rsidRDefault="008F0D82">
      <w:pPr>
        <w:overflowPunct w:val="0"/>
        <w:jc w:val="center"/>
        <w:textAlignment w:val="baseline"/>
        <w:rPr>
          <w:sz w:val="8"/>
        </w:rPr>
      </w:pPr>
      <w:r>
        <w:rPr>
          <w:noProof/>
          <w:sz w:val="8"/>
          <w:lang w:eastAsia="lt-LT"/>
        </w:rPr>
        <w:drawing>
          <wp:inline distT="0" distB="0" distL="0" distR="0" wp14:anchorId="29A88639" wp14:editId="29A8863A">
            <wp:extent cx="1061085" cy="724535"/>
            <wp:effectExtent l="19050" t="0" r="5715" b="0"/>
            <wp:docPr id="1" name="Picture 1" descr="LOGOnespalv-m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spalv-maz2"/>
                    <pic:cNvPicPr>
                      <a:picLocks noChangeAspect="1" noChangeArrowheads="1"/>
                    </pic:cNvPicPr>
                  </pic:nvPicPr>
                  <pic:blipFill>
                    <a:blip r:embed="rId8" cstate="print"/>
                    <a:srcRect/>
                    <a:stretch>
                      <a:fillRect/>
                    </a:stretch>
                  </pic:blipFill>
                  <pic:spPr bwMode="auto">
                    <a:xfrm>
                      <a:off x="0" y="0"/>
                      <a:ext cx="1061085" cy="724535"/>
                    </a:xfrm>
                    <a:prstGeom prst="rect">
                      <a:avLst/>
                    </a:prstGeom>
                    <a:noFill/>
                    <a:ln w="9525">
                      <a:noFill/>
                      <a:miter lim="800000"/>
                      <a:headEnd/>
                      <a:tailEnd/>
                    </a:ln>
                  </pic:spPr>
                </pic:pic>
              </a:graphicData>
            </a:graphic>
          </wp:inline>
        </w:drawing>
      </w:r>
    </w:p>
    <w:p w14:paraId="29A88558" w14:textId="77777777" w:rsidR="001A1A75" w:rsidRDefault="001A1A75">
      <w:pPr>
        <w:overflowPunct w:val="0"/>
        <w:jc w:val="both"/>
        <w:textAlignment w:val="baseline"/>
        <w:rPr>
          <w:sz w:val="16"/>
          <w:szCs w:val="16"/>
        </w:rPr>
      </w:pPr>
    </w:p>
    <w:p w14:paraId="29A88559" w14:textId="77777777" w:rsidR="001A1A75" w:rsidRDefault="008F0D82">
      <w:pPr>
        <w:overflowPunct w:val="0"/>
        <w:jc w:val="center"/>
        <w:textAlignment w:val="baseline"/>
        <w:rPr>
          <w:b/>
          <w:sz w:val="28"/>
          <w:szCs w:val="28"/>
        </w:rPr>
      </w:pPr>
      <w:r>
        <w:rPr>
          <w:b/>
          <w:sz w:val="28"/>
          <w:szCs w:val="28"/>
        </w:rPr>
        <w:t>LIETUVOS RESPUBLIKOS ŽEMĖS ŪKIO</w:t>
      </w:r>
    </w:p>
    <w:p w14:paraId="29A8855A" w14:textId="77777777" w:rsidR="001A1A75" w:rsidRDefault="008F0D82">
      <w:pPr>
        <w:overflowPunct w:val="0"/>
        <w:jc w:val="center"/>
        <w:textAlignment w:val="baseline"/>
        <w:rPr>
          <w:b/>
          <w:sz w:val="28"/>
          <w:szCs w:val="28"/>
        </w:rPr>
      </w:pPr>
      <w:r>
        <w:rPr>
          <w:b/>
          <w:sz w:val="28"/>
          <w:szCs w:val="28"/>
        </w:rPr>
        <w:t>MINISTRAS</w:t>
      </w:r>
    </w:p>
    <w:p w14:paraId="29A8855B" w14:textId="77777777" w:rsidR="001A1A75" w:rsidRDefault="001A1A75">
      <w:pPr>
        <w:overflowPunct w:val="0"/>
        <w:jc w:val="center"/>
        <w:textAlignment w:val="baseline"/>
        <w:rPr>
          <w:b/>
          <w:sz w:val="28"/>
          <w:szCs w:val="28"/>
        </w:rPr>
      </w:pPr>
    </w:p>
    <w:p w14:paraId="29A8855C" w14:textId="77777777" w:rsidR="001A1A75" w:rsidRDefault="008F0D82">
      <w:pPr>
        <w:overflowPunct w:val="0"/>
        <w:jc w:val="center"/>
        <w:textAlignment w:val="baseline"/>
        <w:rPr>
          <w:b/>
          <w:szCs w:val="24"/>
        </w:rPr>
      </w:pPr>
      <w:r>
        <w:rPr>
          <w:b/>
          <w:szCs w:val="24"/>
        </w:rPr>
        <w:t>ĮSAKYMAS</w:t>
      </w:r>
    </w:p>
    <w:p w14:paraId="29A8855D" w14:textId="77777777" w:rsidR="001A1A75" w:rsidRDefault="008F0D82">
      <w:pPr>
        <w:overflowPunct w:val="0"/>
        <w:jc w:val="center"/>
        <w:textAlignment w:val="baseline"/>
        <w:rPr>
          <w:b/>
        </w:rPr>
      </w:pPr>
      <w:r>
        <w:rPr>
          <w:b/>
          <w:caps/>
        </w:rPr>
        <w:t>DĖL ŽEMĖS ŪKIO MINISTRO 2007 M. BALANDŽIO 12 D. ĮSAKYMO NR. 3D-161 „DĖL DALIES GARANTINIO UŽMOKESČIO KREDITŲ GAVĖJAMS KOMPENSAVIMO</w:t>
      </w:r>
      <w:r>
        <w:rPr>
          <w:b/>
          <w:caps/>
        </w:rPr>
        <w:t xml:space="preserve"> TAISYKLIŲ PATVIRTINIMO“ PAKEITIMO</w:t>
      </w:r>
    </w:p>
    <w:p w14:paraId="29A8855E" w14:textId="77777777" w:rsidR="001A1A75" w:rsidRDefault="001A1A75">
      <w:pPr>
        <w:overflowPunct w:val="0"/>
        <w:jc w:val="center"/>
        <w:textAlignment w:val="baseline"/>
        <w:rPr>
          <w:lang w:val="en-GB"/>
        </w:rPr>
      </w:pPr>
    </w:p>
    <w:p w14:paraId="29A8855F" w14:textId="77777777" w:rsidR="001A1A75" w:rsidRDefault="001A1A75">
      <w:pPr>
        <w:overflowPunct w:val="0"/>
        <w:jc w:val="center"/>
        <w:textAlignment w:val="baseline"/>
      </w:pPr>
    </w:p>
    <w:p w14:paraId="29A88560" w14:textId="77777777" w:rsidR="001A1A75" w:rsidRDefault="008F0D82">
      <w:pPr>
        <w:overflowPunct w:val="0"/>
        <w:spacing w:line="360" w:lineRule="auto"/>
        <w:jc w:val="center"/>
        <w:textAlignment w:val="baseline"/>
      </w:pPr>
      <w:r>
        <w:t>2014 m. gruodžio 30 d. Nr. 3D-1016</w:t>
      </w:r>
    </w:p>
    <w:p w14:paraId="29A88561" w14:textId="77777777" w:rsidR="001A1A75" w:rsidRDefault="008F0D82" w:rsidP="008F0D82">
      <w:pPr>
        <w:overflowPunct w:val="0"/>
        <w:spacing w:line="360" w:lineRule="auto"/>
        <w:jc w:val="center"/>
        <w:textAlignment w:val="baseline"/>
      </w:pPr>
      <w:r>
        <w:t>Vilnius</w:t>
      </w:r>
    </w:p>
    <w:p w14:paraId="29A88562" w14:textId="77777777" w:rsidR="001A1A75" w:rsidRDefault="001A1A75">
      <w:pPr>
        <w:overflowPunct w:val="0"/>
        <w:jc w:val="center"/>
        <w:textAlignment w:val="baseline"/>
      </w:pPr>
    </w:p>
    <w:p w14:paraId="0F33231F" w14:textId="77777777" w:rsidR="008F0D82" w:rsidRDefault="008F0D82">
      <w:pPr>
        <w:overflowPunct w:val="0"/>
        <w:jc w:val="center"/>
        <w:textAlignment w:val="baseline"/>
      </w:pPr>
    </w:p>
    <w:p w14:paraId="29A88563" w14:textId="77777777" w:rsidR="001A1A75" w:rsidRDefault="008F0D82">
      <w:pPr>
        <w:overflowPunct w:val="0"/>
        <w:spacing w:line="360" w:lineRule="auto"/>
        <w:ind w:firstLine="851"/>
        <w:jc w:val="both"/>
        <w:textAlignment w:val="baseline"/>
        <w:rPr>
          <w:szCs w:val="24"/>
        </w:rPr>
      </w:pPr>
      <w:r>
        <w:rPr>
          <w:szCs w:val="24"/>
        </w:rPr>
        <w:t>1</w:t>
      </w:r>
      <w:r>
        <w:rPr>
          <w:szCs w:val="24"/>
        </w:rPr>
        <w:t>. P a k e i č i u Lietuvos Respublikos žemės ūkio ministro 2007 m. balandžio 12 d. įsakymą Nr. 3D-161 „Dėl Dalies garantinio užmokesčio kreditų gavėjams kompensavimo taisyk</w:t>
      </w:r>
      <w:r>
        <w:rPr>
          <w:szCs w:val="24"/>
        </w:rPr>
        <w:t xml:space="preserve">lių patvirtinimo“, ir jį išdėstau nauja redakcija: </w:t>
      </w:r>
    </w:p>
    <w:p w14:paraId="29A88564" w14:textId="77777777" w:rsidR="001A1A75" w:rsidRDefault="008F0D82">
      <w:pPr>
        <w:overflowPunct w:val="0"/>
        <w:spacing w:line="360" w:lineRule="auto"/>
        <w:ind w:firstLine="851"/>
        <w:jc w:val="center"/>
        <w:textAlignment w:val="baseline"/>
        <w:rPr>
          <w:b/>
          <w:szCs w:val="24"/>
        </w:rPr>
      </w:pPr>
      <w:r>
        <w:rPr>
          <w:b/>
          <w:szCs w:val="24"/>
        </w:rPr>
        <w:t>„LIETUVOS RESPUBLIKOS ŽEMĖS ŪKIO MINISTRAS</w:t>
      </w:r>
    </w:p>
    <w:p w14:paraId="29A88565" w14:textId="77777777" w:rsidR="001A1A75" w:rsidRDefault="008F0D82">
      <w:pPr>
        <w:overflowPunct w:val="0"/>
        <w:ind w:firstLine="851"/>
        <w:jc w:val="center"/>
        <w:textAlignment w:val="baseline"/>
        <w:rPr>
          <w:b/>
          <w:szCs w:val="24"/>
        </w:rPr>
      </w:pPr>
      <w:r>
        <w:rPr>
          <w:b/>
          <w:szCs w:val="24"/>
        </w:rPr>
        <w:t>ĮSAKYMAS</w:t>
      </w:r>
    </w:p>
    <w:p w14:paraId="29A88566" w14:textId="77777777" w:rsidR="001A1A75" w:rsidRDefault="008F0D82">
      <w:pPr>
        <w:overflowPunct w:val="0"/>
        <w:ind w:firstLine="851"/>
        <w:jc w:val="center"/>
        <w:textAlignment w:val="baseline"/>
        <w:rPr>
          <w:b/>
          <w:color w:val="000000"/>
          <w:szCs w:val="24"/>
        </w:rPr>
      </w:pPr>
      <w:r>
        <w:rPr>
          <w:b/>
          <w:szCs w:val="24"/>
        </w:rPr>
        <w:t xml:space="preserve">DĖL </w:t>
      </w:r>
      <w:r>
        <w:rPr>
          <w:b/>
          <w:color w:val="000000"/>
          <w:szCs w:val="24"/>
        </w:rPr>
        <w:t>DALIES GARANTINIO UŽMOKESČIO KREDITŲ GAVĖJAMS KOMPENSAVIMO TAISYKLIŲ PATVIRTINIMO</w:t>
      </w:r>
    </w:p>
    <w:p w14:paraId="29A88567" w14:textId="77777777" w:rsidR="001A1A75" w:rsidRDefault="001A1A75">
      <w:pPr>
        <w:overflowPunct w:val="0"/>
        <w:spacing w:line="360" w:lineRule="auto"/>
        <w:ind w:firstLine="312"/>
        <w:jc w:val="both"/>
        <w:textAlignment w:val="baseline"/>
        <w:rPr>
          <w:color w:val="000000"/>
          <w:szCs w:val="24"/>
        </w:rPr>
      </w:pPr>
    </w:p>
    <w:p w14:paraId="29A88568" w14:textId="77777777" w:rsidR="001A1A75" w:rsidRDefault="008F0D82">
      <w:pPr>
        <w:overflowPunct w:val="0"/>
        <w:spacing w:line="360" w:lineRule="auto"/>
        <w:ind w:firstLine="720"/>
        <w:jc w:val="both"/>
        <w:textAlignment w:val="baseline"/>
        <w:rPr>
          <w:color w:val="000000"/>
          <w:szCs w:val="24"/>
        </w:rPr>
      </w:pPr>
      <w:r>
        <w:rPr>
          <w:color w:val="000000"/>
          <w:szCs w:val="24"/>
        </w:rPr>
        <w:t>Vadovaudamasi Lietuvos Respublikos žemės ūkio, maisto ūkio ir kaimo plėtros įstatymo 8 straipsnio 4 dalimi, Lietuvos Respublikos Vyriausybės 1997 m. rugpjūčio 22 d. nutarimu Nr. 912 „Dėl Žemės ūkio paskolų garantijų fondo“, 2014 m. birželio 25 d. Komisijos</w:t>
      </w:r>
      <w:r>
        <w:rPr>
          <w:color w:val="000000"/>
          <w:szCs w:val="24"/>
        </w:rPr>
        <w:t xml:space="preserve"> reglamentu (ES) Nr. 702/2014, kuriuo skelbiama, kad tam tikrų kategorijų pagalba žemės bei miškų ūkio sektoriuose ir kaimo vietovėse yra suderinama su vidaus rinka pagal Sutarties dėl Europos Sąjungos veikimo 107 ir 108 straipsnius (OL 2014 L 193, p 1) ir</w:t>
      </w:r>
      <w:r>
        <w:rPr>
          <w:color w:val="000000"/>
          <w:szCs w:val="24"/>
        </w:rPr>
        <w:t xml:space="preserve"> 2014 m. birželio 17 d. Komisijos reglamentu (ES) Nr. 651/2014, kuriuo tam tikrų kategorijų pagalba skelbiama suderinama su vidaus rinka  taikant Sutarties 107 ir 108 straipsnius (OL 2014 L 187, p. 1),</w:t>
      </w:r>
    </w:p>
    <w:p w14:paraId="29A88569" w14:textId="77777777" w:rsidR="001A1A75" w:rsidRDefault="008F0D82">
      <w:pPr>
        <w:overflowPunct w:val="0"/>
        <w:spacing w:line="360" w:lineRule="auto"/>
        <w:ind w:firstLine="720"/>
        <w:jc w:val="both"/>
        <w:textAlignment w:val="baseline"/>
        <w:rPr>
          <w:color w:val="000000"/>
          <w:szCs w:val="24"/>
        </w:rPr>
      </w:pPr>
      <w:r>
        <w:rPr>
          <w:color w:val="000000"/>
          <w:szCs w:val="24"/>
        </w:rPr>
        <w:t>t v i r t i n u Dalies garantinio užmokesčio kreditų</w:t>
      </w:r>
      <w:r>
        <w:rPr>
          <w:color w:val="000000"/>
          <w:szCs w:val="24"/>
        </w:rPr>
        <w:t xml:space="preserve"> gavėjams kompensavimo taisykles (pridedama).“</w:t>
      </w:r>
    </w:p>
    <w:p w14:paraId="29A8856B" w14:textId="37D712CF" w:rsidR="001A1A75" w:rsidRDefault="008F0D82" w:rsidP="008F0D82">
      <w:pPr>
        <w:overflowPunct w:val="0"/>
        <w:spacing w:line="360" w:lineRule="auto"/>
        <w:ind w:firstLine="720"/>
        <w:jc w:val="both"/>
        <w:textAlignment w:val="baseline"/>
        <w:rPr>
          <w:color w:val="000000"/>
          <w:szCs w:val="24"/>
        </w:rPr>
      </w:pPr>
      <w:r>
        <w:rPr>
          <w:color w:val="000000"/>
          <w:szCs w:val="24"/>
        </w:rPr>
        <w:t>2</w:t>
      </w:r>
      <w:r>
        <w:rPr>
          <w:color w:val="000000"/>
          <w:szCs w:val="24"/>
        </w:rPr>
        <w:t>. N u s t a t a u, kad šis įsakymas įsigalioja 2015 m. sausio 1 d.</w:t>
      </w:r>
    </w:p>
    <w:p w14:paraId="5C1FB120" w14:textId="77777777" w:rsidR="008F0D82" w:rsidRDefault="008F0D82" w:rsidP="008F0D82">
      <w:pPr>
        <w:overflowPunct w:val="0"/>
        <w:jc w:val="both"/>
        <w:textAlignment w:val="baseline"/>
      </w:pPr>
    </w:p>
    <w:p w14:paraId="5C20E809" w14:textId="77777777" w:rsidR="008F0D82" w:rsidRDefault="008F0D82" w:rsidP="008F0D82">
      <w:pPr>
        <w:overflowPunct w:val="0"/>
        <w:jc w:val="both"/>
        <w:textAlignment w:val="baseline"/>
      </w:pPr>
    </w:p>
    <w:p w14:paraId="75727CC1" w14:textId="77777777" w:rsidR="008F0D82" w:rsidRDefault="008F0D82" w:rsidP="008F0D82">
      <w:pPr>
        <w:overflowPunct w:val="0"/>
        <w:jc w:val="both"/>
        <w:textAlignment w:val="baseline"/>
      </w:pPr>
    </w:p>
    <w:p w14:paraId="29A8856C" w14:textId="46DB0A24" w:rsidR="001A1A75" w:rsidRDefault="008F0D82">
      <w:pPr>
        <w:overflowPunct w:val="0"/>
        <w:spacing w:line="360" w:lineRule="auto"/>
        <w:jc w:val="both"/>
        <w:textAlignment w:val="baseline"/>
        <w:rPr>
          <w:color w:val="000000"/>
          <w:szCs w:val="24"/>
        </w:rPr>
      </w:pPr>
      <w:r>
        <w:rPr>
          <w:color w:val="000000"/>
          <w:szCs w:val="24"/>
        </w:rPr>
        <w:t>Žemės ūkio ministrė</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t xml:space="preserve">      Virginija Baltraitienė</w:t>
      </w:r>
    </w:p>
    <w:p w14:paraId="29A8856D" w14:textId="77777777" w:rsidR="001A1A75" w:rsidRDefault="001A1A75">
      <w:pPr>
        <w:overflowPunct w:val="0"/>
        <w:jc w:val="both"/>
        <w:textAlignment w:val="baseline"/>
        <w:rPr>
          <w:color w:val="000000"/>
          <w:szCs w:val="24"/>
        </w:rPr>
      </w:pPr>
    </w:p>
    <w:p w14:paraId="29A8856E" w14:textId="77777777" w:rsidR="001A1A75" w:rsidRDefault="008F0D82">
      <w:pPr>
        <w:overflowPunct w:val="0"/>
        <w:jc w:val="both"/>
        <w:textAlignment w:val="baseline"/>
        <w:rPr>
          <w:color w:val="000000"/>
          <w:szCs w:val="24"/>
        </w:rPr>
      </w:pPr>
      <w:r>
        <w:rPr>
          <w:color w:val="000000"/>
          <w:szCs w:val="24"/>
        </w:rPr>
        <w:t>SUDERINTA</w:t>
      </w:r>
    </w:p>
    <w:p w14:paraId="29A8856F" w14:textId="77777777" w:rsidR="001A1A75" w:rsidRDefault="008F0D82">
      <w:pPr>
        <w:overflowPunct w:val="0"/>
        <w:jc w:val="both"/>
        <w:textAlignment w:val="baseline"/>
        <w:rPr>
          <w:color w:val="000000"/>
          <w:szCs w:val="24"/>
        </w:rPr>
      </w:pPr>
      <w:r>
        <w:rPr>
          <w:color w:val="000000"/>
          <w:szCs w:val="24"/>
        </w:rPr>
        <w:t xml:space="preserve">Lietuvos Respublikos konkurencijos tarybos </w:t>
      </w:r>
    </w:p>
    <w:p w14:paraId="29A88570" w14:textId="77777777" w:rsidR="001A1A75" w:rsidRDefault="008F0D82">
      <w:pPr>
        <w:overflowPunct w:val="0"/>
        <w:jc w:val="both"/>
        <w:textAlignment w:val="baseline"/>
        <w:rPr>
          <w:color w:val="000000"/>
          <w:szCs w:val="24"/>
        </w:rPr>
      </w:pPr>
      <w:r>
        <w:rPr>
          <w:color w:val="000000"/>
          <w:szCs w:val="24"/>
        </w:rPr>
        <w:t xml:space="preserve">2014-12-08 raštu </w:t>
      </w:r>
      <w:r>
        <w:rPr>
          <w:color w:val="000000"/>
          <w:szCs w:val="24"/>
        </w:rPr>
        <w:t>Nr. (9.8-35) 6V-2563</w:t>
      </w:r>
    </w:p>
    <w:p w14:paraId="29A88571" w14:textId="77777777" w:rsidR="001A1A75" w:rsidRDefault="008F0D82">
      <w:pPr>
        <w:overflowPunct w:val="0"/>
        <w:ind w:left="5954"/>
        <w:jc w:val="both"/>
        <w:textAlignment w:val="baseline"/>
        <w:rPr>
          <w:rFonts w:ascii="TimesLT" w:hAnsi="TimesLT"/>
          <w:color w:val="000000"/>
          <w:sz w:val="20"/>
          <w:szCs w:val="8"/>
        </w:rPr>
      </w:pPr>
      <w:r>
        <w:rPr>
          <w:rFonts w:ascii="TimesLT" w:hAnsi="TimesLT"/>
          <w:color w:val="000000"/>
          <w:sz w:val="20"/>
          <w:szCs w:val="8"/>
        </w:rPr>
        <w:t>PATVIRTINTA</w:t>
      </w:r>
    </w:p>
    <w:p w14:paraId="29A88572" w14:textId="77777777" w:rsidR="001A1A75" w:rsidRDefault="008F0D82">
      <w:pPr>
        <w:tabs>
          <w:tab w:val="left" w:pos="1304"/>
          <w:tab w:val="left" w:pos="1457"/>
          <w:tab w:val="left" w:pos="1604"/>
          <w:tab w:val="left" w:pos="1757"/>
        </w:tabs>
        <w:spacing w:line="283" w:lineRule="auto"/>
        <w:ind w:left="5953"/>
        <w:rPr>
          <w:rFonts w:ascii="TimesLT" w:hAnsi="TimesLT"/>
          <w:sz w:val="20"/>
        </w:rPr>
      </w:pPr>
      <w:r>
        <w:rPr>
          <w:rFonts w:ascii="TimesLT" w:hAnsi="TimesLT"/>
          <w:sz w:val="20"/>
        </w:rPr>
        <w:t>Lietuvos Respublikos žemės ūkio ministro</w:t>
      </w:r>
    </w:p>
    <w:p w14:paraId="29A88573" w14:textId="77777777" w:rsidR="001A1A75" w:rsidRDefault="008F0D82">
      <w:pPr>
        <w:tabs>
          <w:tab w:val="left" w:pos="1304"/>
          <w:tab w:val="left" w:pos="1457"/>
          <w:tab w:val="left" w:pos="1604"/>
          <w:tab w:val="left" w:pos="1757"/>
        </w:tabs>
        <w:spacing w:line="283" w:lineRule="auto"/>
        <w:ind w:left="5953"/>
        <w:rPr>
          <w:rFonts w:ascii="TimesLT" w:hAnsi="TimesLT"/>
          <w:sz w:val="20"/>
        </w:rPr>
      </w:pPr>
      <w:r>
        <w:rPr>
          <w:rFonts w:ascii="TimesLT" w:hAnsi="TimesLT"/>
          <w:sz w:val="20"/>
        </w:rPr>
        <w:t>2007 m. balandžio 12 d. įsakymu Nr. 3D-161</w:t>
      </w:r>
    </w:p>
    <w:p w14:paraId="29A88574" w14:textId="77777777" w:rsidR="001A1A75" w:rsidRDefault="008F0D82">
      <w:pPr>
        <w:tabs>
          <w:tab w:val="left" w:pos="1304"/>
          <w:tab w:val="left" w:pos="1457"/>
          <w:tab w:val="left" w:pos="1604"/>
          <w:tab w:val="left" w:pos="1757"/>
        </w:tabs>
        <w:spacing w:line="283" w:lineRule="auto"/>
        <w:ind w:left="5953"/>
        <w:rPr>
          <w:rFonts w:ascii="TimesLT" w:hAnsi="TimesLT"/>
          <w:sz w:val="20"/>
        </w:rPr>
      </w:pPr>
      <w:r>
        <w:rPr>
          <w:rFonts w:ascii="TimesLT" w:hAnsi="TimesLT"/>
          <w:sz w:val="20"/>
        </w:rPr>
        <w:t>(Lietuvos Respublikos žemės ūkio ministro</w:t>
      </w:r>
    </w:p>
    <w:p w14:paraId="29A88575" w14:textId="77777777" w:rsidR="001A1A75" w:rsidRDefault="008F0D82">
      <w:pPr>
        <w:tabs>
          <w:tab w:val="left" w:pos="1304"/>
          <w:tab w:val="left" w:pos="1457"/>
          <w:tab w:val="left" w:pos="1604"/>
          <w:tab w:val="left" w:pos="1757"/>
        </w:tabs>
        <w:spacing w:line="283" w:lineRule="auto"/>
        <w:ind w:left="5953"/>
        <w:rPr>
          <w:rFonts w:ascii="TimesLT" w:hAnsi="TimesLT"/>
          <w:sz w:val="20"/>
        </w:rPr>
      </w:pPr>
      <w:r>
        <w:rPr>
          <w:rFonts w:ascii="TimesLT" w:hAnsi="TimesLT"/>
          <w:sz w:val="20"/>
        </w:rPr>
        <w:t>2014 m. gruodžio 30 d. įsakymo Nr. 3D-1016</w:t>
      </w:r>
    </w:p>
    <w:p w14:paraId="29A88576" w14:textId="77777777" w:rsidR="001A1A75" w:rsidRDefault="008F0D82">
      <w:pPr>
        <w:tabs>
          <w:tab w:val="left" w:pos="1304"/>
          <w:tab w:val="left" w:pos="1457"/>
          <w:tab w:val="left" w:pos="1604"/>
          <w:tab w:val="left" w:pos="1757"/>
        </w:tabs>
        <w:spacing w:line="283" w:lineRule="auto"/>
        <w:ind w:left="5953"/>
        <w:rPr>
          <w:rFonts w:ascii="TimesLT" w:hAnsi="TimesLT"/>
          <w:sz w:val="20"/>
        </w:rPr>
      </w:pPr>
      <w:r>
        <w:rPr>
          <w:rFonts w:ascii="TimesLT" w:hAnsi="TimesLT"/>
          <w:sz w:val="20"/>
        </w:rPr>
        <w:t>redakcija)</w:t>
      </w:r>
    </w:p>
    <w:p w14:paraId="29A88577" w14:textId="77777777" w:rsidR="001A1A75" w:rsidRDefault="001A1A75">
      <w:pPr>
        <w:suppressAutoHyphens/>
        <w:spacing w:line="283" w:lineRule="auto"/>
        <w:ind w:firstLine="312"/>
        <w:jc w:val="both"/>
        <w:textAlignment w:val="center"/>
        <w:rPr>
          <w:color w:val="000000"/>
          <w:sz w:val="20"/>
          <w:lang w:eastAsia="lt-LT"/>
        </w:rPr>
      </w:pPr>
    </w:p>
    <w:p w14:paraId="29A88578" w14:textId="77777777" w:rsidR="001A1A75" w:rsidRDefault="008F0D82">
      <w:pPr>
        <w:jc w:val="center"/>
        <w:rPr>
          <w:b/>
          <w:bCs/>
          <w:caps/>
          <w:szCs w:val="24"/>
        </w:rPr>
      </w:pPr>
      <w:r>
        <w:rPr>
          <w:b/>
          <w:bCs/>
          <w:caps/>
          <w:szCs w:val="24"/>
        </w:rPr>
        <w:t xml:space="preserve">DALIES GARANTINIO UŽMOKESČIO KREDITŲ </w:t>
      </w:r>
      <w:r>
        <w:rPr>
          <w:b/>
          <w:bCs/>
          <w:caps/>
          <w:szCs w:val="24"/>
        </w:rPr>
        <w:t>GAVĖJAMS KOMPENSAVIMo TAISYKLĖS</w:t>
      </w:r>
    </w:p>
    <w:p w14:paraId="29A88579" w14:textId="77777777" w:rsidR="001A1A75" w:rsidRDefault="001A1A75">
      <w:pPr>
        <w:spacing w:line="360" w:lineRule="auto"/>
        <w:jc w:val="center"/>
        <w:rPr>
          <w:b/>
          <w:bCs/>
          <w:caps/>
          <w:szCs w:val="24"/>
        </w:rPr>
      </w:pPr>
    </w:p>
    <w:p w14:paraId="29A8857A" w14:textId="77777777" w:rsidR="001A1A75" w:rsidRDefault="008F0D82">
      <w:pPr>
        <w:spacing w:line="360" w:lineRule="auto"/>
        <w:jc w:val="center"/>
        <w:rPr>
          <w:b/>
          <w:bCs/>
          <w:caps/>
          <w:szCs w:val="24"/>
        </w:rPr>
      </w:pPr>
      <w:r>
        <w:rPr>
          <w:b/>
          <w:bCs/>
          <w:caps/>
          <w:szCs w:val="24"/>
        </w:rPr>
        <w:t>I</w:t>
      </w:r>
      <w:r>
        <w:rPr>
          <w:b/>
          <w:bCs/>
          <w:caps/>
          <w:szCs w:val="24"/>
        </w:rPr>
        <w:t xml:space="preserve">. </w:t>
      </w:r>
      <w:r>
        <w:rPr>
          <w:b/>
          <w:bCs/>
          <w:caps/>
          <w:szCs w:val="24"/>
        </w:rPr>
        <w:t>BENDROSIOS NUOSTATOS</w:t>
      </w:r>
    </w:p>
    <w:p w14:paraId="29A8857B" w14:textId="77777777" w:rsidR="001A1A75" w:rsidRDefault="001A1A75">
      <w:pPr>
        <w:suppressAutoHyphens/>
        <w:spacing w:line="360" w:lineRule="auto"/>
        <w:ind w:firstLine="312"/>
        <w:jc w:val="both"/>
        <w:textAlignment w:val="center"/>
        <w:rPr>
          <w:color w:val="000000"/>
          <w:szCs w:val="24"/>
          <w:lang w:eastAsia="lt-LT"/>
        </w:rPr>
      </w:pPr>
    </w:p>
    <w:p w14:paraId="29A8857C" w14:textId="77777777" w:rsidR="001A1A75" w:rsidRDefault="008F0D82">
      <w:pPr>
        <w:suppressAutoHyphens/>
        <w:spacing w:line="360" w:lineRule="auto"/>
        <w:ind w:firstLine="312"/>
        <w:jc w:val="both"/>
        <w:textAlignment w:val="center"/>
        <w:rPr>
          <w:color w:val="000000"/>
          <w:szCs w:val="24"/>
          <w:lang w:eastAsia="lt-LT"/>
        </w:rPr>
      </w:pPr>
      <w:r>
        <w:rPr>
          <w:color w:val="000000"/>
          <w:szCs w:val="24"/>
          <w:lang w:eastAsia="lt-LT"/>
        </w:rPr>
        <w:t>1</w:t>
      </w:r>
      <w:r>
        <w:rPr>
          <w:color w:val="000000"/>
          <w:szCs w:val="24"/>
          <w:lang w:eastAsia="lt-LT"/>
        </w:rPr>
        <w:t>. Dalies garantinio užmokesčio kreditų gavėjams kompensavimo taisyklės (toliau – taisyklės) parengtos vadovaujantis 2014 m. birželio 25 d. Komisijos reglamentu (ES) Nr. 702/2014, kuriuo ske</w:t>
      </w:r>
      <w:r>
        <w:rPr>
          <w:color w:val="000000"/>
          <w:szCs w:val="24"/>
          <w:lang w:eastAsia="lt-LT"/>
        </w:rPr>
        <w:t>lbiama, kad tam tikrų kategorijų pagalba žemės bei miškų ūkio sektoriuose ir kaimo vietovėse yra suderinama su vidaus rinka pagal Sutarties dėl Europos Sąjungos veikimo 107 ir 108 straipsnius (OL 2014 L 193, p 1) ir 2014 m. birželio 17 d. Komisijos reglame</w:t>
      </w:r>
      <w:r>
        <w:rPr>
          <w:color w:val="000000"/>
          <w:szCs w:val="24"/>
          <w:lang w:eastAsia="lt-LT"/>
        </w:rPr>
        <w:t>ntu (ES) Nr. 651/2014, kuriuo tam tikrų kategorijų pagalba skelbiama suderinama su vidaus rinka  taikant Sutarties 107 ir 108 straipsnius (OL 2014 L 187, p. 1), ir reglamentuoja valstybės pagalbos kompensuojant dalį garantinio užmokesčio, kuris mokamas UAB</w:t>
      </w:r>
      <w:r>
        <w:rPr>
          <w:color w:val="000000"/>
          <w:szCs w:val="24"/>
          <w:lang w:eastAsia="lt-LT"/>
        </w:rPr>
        <w:t xml:space="preserve"> Žemės ūkio paskolų garantijų fondui (toliau – Bendrovė) už garantijos suteikimą kredito įstaigoms dėl jų teikiamų kreditų (toliau – pagalba), teikimą iš valstybės biudžeto lėšų.</w:t>
      </w:r>
    </w:p>
    <w:p w14:paraId="29A8857D" w14:textId="77777777" w:rsidR="001A1A75" w:rsidRDefault="008F0D82">
      <w:pPr>
        <w:suppressAutoHyphens/>
        <w:spacing w:line="360" w:lineRule="auto"/>
        <w:ind w:firstLine="312"/>
        <w:jc w:val="both"/>
        <w:textAlignment w:val="center"/>
        <w:rPr>
          <w:color w:val="000000"/>
          <w:szCs w:val="24"/>
          <w:lang w:eastAsia="lt-LT"/>
        </w:rPr>
      </w:pPr>
      <w:r>
        <w:rPr>
          <w:color w:val="000000"/>
          <w:szCs w:val="24"/>
          <w:lang w:eastAsia="lt-LT"/>
        </w:rPr>
        <w:t>2</w:t>
      </w:r>
      <w:r>
        <w:rPr>
          <w:color w:val="000000"/>
          <w:szCs w:val="24"/>
          <w:lang w:eastAsia="lt-LT"/>
        </w:rPr>
        <w:t>. Šių taisyklių tikslas – sudaryti palankesnes sąlygas kaimo vietovėje v</w:t>
      </w:r>
      <w:r>
        <w:rPr>
          <w:color w:val="000000"/>
          <w:szCs w:val="24"/>
          <w:lang w:eastAsia="lt-LT"/>
        </w:rPr>
        <w:t>eikiantiems subjektams pasinaudoti kreditais, skirtais investiciniams projektams vykdyti.</w:t>
      </w:r>
    </w:p>
    <w:p w14:paraId="29A8857E" w14:textId="77777777" w:rsidR="001A1A75" w:rsidRDefault="008F0D82">
      <w:pPr>
        <w:suppressAutoHyphens/>
        <w:spacing w:line="360" w:lineRule="auto"/>
        <w:ind w:firstLine="312"/>
        <w:jc w:val="both"/>
        <w:textAlignment w:val="center"/>
        <w:rPr>
          <w:color w:val="000000"/>
          <w:szCs w:val="24"/>
          <w:lang w:eastAsia="lt-LT"/>
        </w:rPr>
      </w:pPr>
      <w:r>
        <w:rPr>
          <w:color w:val="000000"/>
          <w:szCs w:val="24"/>
          <w:lang w:eastAsia="lt-LT"/>
        </w:rPr>
        <w:t>3</w:t>
      </w:r>
      <w:r>
        <w:rPr>
          <w:color w:val="000000"/>
          <w:szCs w:val="24"/>
          <w:lang w:eastAsia="lt-LT"/>
        </w:rPr>
        <w:t>. Taisyklėse vartojamos sąvokos:</w:t>
      </w:r>
    </w:p>
    <w:p w14:paraId="29A8857F" w14:textId="77777777" w:rsidR="001A1A75" w:rsidRDefault="008F0D82">
      <w:pPr>
        <w:suppressAutoHyphens/>
        <w:spacing w:line="360" w:lineRule="auto"/>
        <w:ind w:firstLine="312"/>
        <w:jc w:val="both"/>
        <w:textAlignment w:val="center"/>
        <w:rPr>
          <w:color w:val="000000"/>
          <w:szCs w:val="24"/>
          <w:lang w:eastAsia="lt-LT"/>
        </w:rPr>
      </w:pPr>
      <w:r>
        <w:rPr>
          <w:b/>
          <w:bCs/>
          <w:color w:val="000000"/>
          <w:szCs w:val="24"/>
          <w:lang w:eastAsia="lt-LT"/>
        </w:rPr>
        <w:t>3.1</w:t>
      </w:r>
      <w:r>
        <w:rPr>
          <w:b/>
          <w:bCs/>
          <w:color w:val="000000"/>
          <w:szCs w:val="24"/>
          <w:lang w:eastAsia="lt-LT"/>
        </w:rPr>
        <w:t xml:space="preserve">. Kaimo vietovė – </w:t>
      </w:r>
      <w:r>
        <w:rPr>
          <w:color w:val="000000"/>
          <w:szCs w:val="24"/>
          <w:lang w:eastAsia="lt-LT"/>
        </w:rPr>
        <w:t>kaimas, miestelis ar miestas, kurio gyventojų skaičius neviršija šešių tūkstančių.</w:t>
      </w:r>
    </w:p>
    <w:p w14:paraId="29A88580" w14:textId="77777777" w:rsidR="001A1A75" w:rsidRDefault="008F0D82">
      <w:pPr>
        <w:suppressAutoHyphens/>
        <w:spacing w:line="360" w:lineRule="auto"/>
        <w:ind w:firstLine="312"/>
        <w:jc w:val="both"/>
        <w:textAlignment w:val="center"/>
        <w:rPr>
          <w:color w:val="000000"/>
          <w:szCs w:val="24"/>
          <w:lang w:eastAsia="lt-LT"/>
        </w:rPr>
      </w:pPr>
      <w:r>
        <w:rPr>
          <w:b/>
          <w:bCs/>
          <w:color w:val="000000"/>
          <w:szCs w:val="24"/>
          <w:lang w:eastAsia="lt-LT"/>
        </w:rPr>
        <w:t>3.2</w:t>
      </w:r>
      <w:r>
        <w:rPr>
          <w:b/>
          <w:bCs/>
          <w:color w:val="000000"/>
          <w:szCs w:val="24"/>
          <w:lang w:eastAsia="lt-LT"/>
        </w:rPr>
        <w:t xml:space="preserve">. Kaimo </w:t>
      </w:r>
      <w:r>
        <w:rPr>
          <w:b/>
          <w:bCs/>
          <w:color w:val="000000"/>
          <w:szCs w:val="24"/>
          <w:lang w:eastAsia="lt-LT"/>
        </w:rPr>
        <w:t>vietovėje veikiantis subjektas</w:t>
      </w:r>
      <w:r>
        <w:rPr>
          <w:color w:val="000000"/>
          <w:szCs w:val="24"/>
          <w:lang w:eastAsia="lt-LT"/>
        </w:rPr>
        <w:t> – ūkine ir (ar) komercine veikla kaimo vietovėje užsiimantis fizinis ar juridinis asmuo, teisės aktų nustatyta tvarka įregistravęs sau priklausančią žemės ūkio valdą Lietuvos Respublikos žemės ūkio ir kaimo verslo registre.</w:t>
      </w:r>
    </w:p>
    <w:p w14:paraId="29A88581" w14:textId="77777777" w:rsidR="001A1A75" w:rsidRDefault="008F0D82">
      <w:pPr>
        <w:suppressAutoHyphens/>
        <w:spacing w:line="360" w:lineRule="auto"/>
        <w:ind w:firstLine="312"/>
        <w:jc w:val="both"/>
        <w:textAlignment w:val="center"/>
        <w:rPr>
          <w:color w:val="000000"/>
          <w:szCs w:val="24"/>
          <w:lang w:eastAsia="lt-LT"/>
        </w:rPr>
      </w:pPr>
      <w:r>
        <w:rPr>
          <w:b/>
          <w:bCs/>
          <w:color w:val="000000"/>
          <w:szCs w:val="24"/>
          <w:lang w:eastAsia="lt-LT"/>
        </w:rPr>
        <w:t>3.3</w:t>
      </w:r>
      <w:r>
        <w:rPr>
          <w:b/>
          <w:bCs/>
          <w:color w:val="000000"/>
          <w:szCs w:val="24"/>
          <w:lang w:eastAsia="lt-LT"/>
        </w:rPr>
        <w:t>. Pirminė gamyba</w:t>
      </w:r>
      <w:r>
        <w:rPr>
          <w:color w:val="000000"/>
          <w:szCs w:val="24"/>
          <w:lang w:eastAsia="lt-LT"/>
        </w:rPr>
        <w:t> – kaip apibrėžta 2002 m. sausio 28 d. Europos Parlamento ir Tarybos reglamento (EB) Nr. 178/2002, nustatančio maistui skirtų teisės aktų bendruosius principus ir reikalavimus, įsteigiančio Europos maisto saugos tarnybą ir nustatančio</w:t>
      </w:r>
      <w:r>
        <w:rPr>
          <w:color w:val="000000"/>
          <w:szCs w:val="24"/>
          <w:lang w:eastAsia="lt-LT"/>
        </w:rPr>
        <w:t xml:space="preserve"> su maisto saugos klausimais susijusias procedūras (OL </w:t>
      </w:r>
      <w:r>
        <w:rPr>
          <w:i/>
          <w:iCs/>
          <w:color w:val="000000"/>
          <w:szCs w:val="24"/>
          <w:lang w:eastAsia="lt-LT"/>
        </w:rPr>
        <w:t>2004 m. specialusis leidimas</w:t>
      </w:r>
      <w:r>
        <w:rPr>
          <w:color w:val="000000"/>
          <w:szCs w:val="24"/>
          <w:lang w:eastAsia="lt-LT"/>
        </w:rPr>
        <w:t>, 15 skyrius, 6 tomas, p. 463), su paskutiniais pakeitimais, padarytais 2014 m. gegužės 15 d. Europos Parlamento ir Tarybos reglamentu (ES) Nr. 652/2014 (OL 2014 L 189, p. 1</w:t>
      </w:r>
      <w:r>
        <w:rPr>
          <w:color w:val="000000"/>
          <w:szCs w:val="24"/>
          <w:lang w:eastAsia="lt-LT"/>
        </w:rPr>
        <w:t>), 3 straipsnio 17 dalyje.</w:t>
      </w:r>
    </w:p>
    <w:p w14:paraId="29A88582" w14:textId="77777777" w:rsidR="001A1A75" w:rsidRDefault="008F0D82">
      <w:pPr>
        <w:suppressAutoHyphens/>
        <w:spacing w:line="360" w:lineRule="auto"/>
        <w:ind w:firstLine="312"/>
        <w:jc w:val="both"/>
        <w:textAlignment w:val="center"/>
        <w:rPr>
          <w:color w:val="000000"/>
          <w:szCs w:val="24"/>
          <w:lang w:eastAsia="lt-LT"/>
        </w:rPr>
      </w:pPr>
      <w:r>
        <w:rPr>
          <w:b/>
          <w:bCs/>
          <w:color w:val="000000"/>
          <w:szCs w:val="24"/>
          <w:lang w:eastAsia="lt-LT"/>
        </w:rPr>
        <w:t>3.4</w:t>
      </w:r>
      <w:r>
        <w:rPr>
          <w:b/>
          <w:bCs/>
          <w:color w:val="000000"/>
          <w:szCs w:val="24"/>
          <w:lang w:eastAsia="lt-LT"/>
        </w:rPr>
        <w:t>. Žemės ūkio technika</w:t>
      </w:r>
      <w:r>
        <w:rPr>
          <w:color w:val="000000"/>
          <w:szCs w:val="24"/>
          <w:lang w:eastAsia="lt-LT"/>
        </w:rPr>
        <w:t> – traktoriai, universalios traktorių priekabos (puspriekabės), žemės ūkio mašinos, įrenginiai (gyvulininkystės, gamybinių patalpų (sandėlių, saugyklų, daržinių), darbų mechanizavimo proceso įrenginiai</w:t>
      </w:r>
      <w:r>
        <w:rPr>
          <w:color w:val="000000"/>
          <w:szCs w:val="24"/>
          <w:lang w:eastAsia="lt-LT"/>
        </w:rPr>
        <w:t xml:space="preserve">, kurie dažnai yra ne savarankiški vienetai, o technologinės linijos ar gamybinio proceso įrenginių dalis), įranga ir įtaisai žemės ūkio darbams atlikti. Prie žemės ūkio </w:t>
      </w:r>
      <w:r>
        <w:rPr>
          <w:color w:val="000000"/>
          <w:szCs w:val="24"/>
          <w:lang w:eastAsia="lt-LT"/>
        </w:rPr>
        <w:lastRenderedPageBreak/>
        <w:t>technikos kategorijos nepriskiriama įvairi technika, kuri iš dalies gali būti naudojam</w:t>
      </w:r>
      <w:r>
        <w:rPr>
          <w:color w:val="000000"/>
          <w:szCs w:val="24"/>
          <w:lang w:eastAsia="lt-LT"/>
        </w:rPr>
        <w:t>a ir žemės ūkio gamyboje, tačiau yra pagaminta įvairioms ūkio šakoms arba kitoms reikmėms (kelių transporto priemonės (krovininiai ir lengvieji automobiliai, autobusai, automobilių priekabos ir puspriekabės, motociklai), kitos transporto priemonės (laivai,</w:t>
      </w:r>
      <w:r>
        <w:rPr>
          <w:color w:val="000000"/>
          <w:szCs w:val="24"/>
          <w:lang w:eastAsia="lt-LT"/>
        </w:rPr>
        <w:t xml:space="preserve"> orlaiviai ir kt.), kelių ir statybinės mašinos (kranai, keltuvai, greideriai), įvairūs ne žemės ūkio paskirties gamybinių patalpų įrenginiai (kompresoriai, autokrautuvai, plovimo, valymo mašinos ir kt.), komunalinė, buitinė, organizacinė ir kita technika)</w:t>
      </w:r>
      <w:r>
        <w:rPr>
          <w:color w:val="000000"/>
          <w:szCs w:val="24"/>
          <w:lang w:eastAsia="lt-LT"/>
        </w:rPr>
        <w:t>.</w:t>
      </w:r>
    </w:p>
    <w:p w14:paraId="29A88583" w14:textId="77777777" w:rsidR="001A1A75" w:rsidRDefault="008F0D82">
      <w:pPr>
        <w:suppressAutoHyphens/>
        <w:spacing w:line="360" w:lineRule="auto"/>
        <w:ind w:firstLine="312"/>
        <w:jc w:val="both"/>
        <w:textAlignment w:val="center"/>
        <w:rPr>
          <w:color w:val="000000"/>
          <w:szCs w:val="24"/>
          <w:lang w:eastAsia="lt-LT"/>
        </w:rPr>
      </w:pPr>
      <w:r>
        <w:rPr>
          <w:b/>
          <w:color w:val="000000"/>
          <w:szCs w:val="24"/>
          <w:lang w:eastAsia="lt-LT"/>
        </w:rPr>
        <w:t>3.5</w:t>
      </w:r>
      <w:r>
        <w:rPr>
          <w:b/>
          <w:color w:val="000000"/>
          <w:szCs w:val="24"/>
          <w:lang w:eastAsia="lt-LT"/>
        </w:rPr>
        <w:t>.</w:t>
      </w:r>
      <w:r>
        <w:rPr>
          <w:color w:val="000000"/>
          <w:szCs w:val="24"/>
          <w:lang w:eastAsia="lt-LT"/>
        </w:rPr>
        <w:t xml:space="preserve"> Kitos šiose Taisyklėse vartojamos sąvokos apibrėžtos reglamente (ES) Nr. 702/2014, reglamente (ES) Nr. 651/2014 ir kituose teisės aktuose.</w:t>
      </w:r>
    </w:p>
    <w:p w14:paraId="29A88584" w14:textId="77777777" w:rsidR="001A1A75" w:rsidRDefault="008F0D82">
      <w:pPr>
        <w:suppressAutoHyphens/>
        <w:spacing w:line="360" w:lineRule="auto"/>
        <w:ind w:firstLine="312"/>
        <w:jc w:val="both"/>
        <w:textAlignment w:val="center"/>
        <w:rPr>
          <w:color w:val="000000"/>
          <w:szCs w:val="24"/>
          <w:lang w:eastAsia="lt-LT"/>
        </w:rPr>
      </w:pPr>
    </w:p>
    <w:p w14:paraId="29A88585" w14:textId="77777777" w:rsidR="001A1A75" w:rsidRDefault="008F0D82">
      <w:pPr>
        <w:spacing w:line="360" w:lineRule="auto"/>
        <w:jc w:val="center"/>
        <w:rPr>
          <w:b/>
          <w:bCs/>
          <w:caps/>
          <w:szCs w:val="24"/>
        </w:rPr>
      </w:pPr>
      <w:r>
        <w:rPr>
          <w:b/>
          <w:bCs/>
          <w:caps/>
          <w:szCs w:val="24"/>
        </w:rPr>
        <w:t>II</w:t>
      </w:r>
      <w:r>
        <w:rPr>
          <w:b/>
          <w:bCs/>
          <w:caps/>
          <w:szCs w:val="24"/>
        </w:rPr>
        <w:t xml:space="preserve">. </w:t>
      </w:r>
      <w:r>
        <w:rPr>
          <w:b/>
          <w:bCs/>
          <w:caps/>
          <w:szCs w:val="24"/>
        </w:rPr>
        <w:t>PAGALBOS SUTEIKIMO SĄLYGOS</w:t>
      </w:r>
    </w:p>
    <w:p w14:paraId="29A88586" w14:textId="77777777" w:rsidR="001A1A75" w:rsidRDefault="001A1A75">
      <w:pPr>
        <w:suppressAutoHyphens/>
        <w:spacing w:line="360" w:lineRule="auto"/>
        <w:ind w:firstLine="312"/>
        <w:jc w:val="both"/>
        <w:textAlignment w:val="center"/>
        <w:rPr>
          <w:color w:val="000000"/>
          <w:szCs w:val="24"/>
          <w:lang w:eastAsia="lt-LT"/>
        </w:rPr>
      </w:pPr>
    </w:p>
    <w:p w14:paraId="29A88587" w14:textId="77777777" w:rsidR="001A1A75" w:rsidRDefault="008F0D82">
      <w:pPr>
        <w:suppressAutoHyphens/>
        <w:spacing w:line="360" w:lineRule="auto"/>
        <w:ind w:firstLine="312"/>
        <w:jc w:val="both"/>
        <w:textAlignment w:val="center"/>
        <w:rPr>
          <w:color w:val="000000"/>
          <w:szCs w:val="24"/>
          <w:lang w:eastAsia="lt-LT"/>
        </w:rPr>
      </w:pPr>
      <w:r>
        <w:rPr>
          <w:color w:val="000000"/>
          <w:szCs w:val="24"/>
          <w:lang w:eastAsia="lt-LT"/>
        </w:rPr>
        <w:t>4</w:t>
      </w:r>
      <w:r>
        <w:rPr>
          <w:color w:val="000000"/>
          <w:szCs w:val="24"/>
          <w:lang w:eastAsia="lt-LT"/>
        </w:rPr>
        <w:t>. Pagal šias taisykles kompensuojama 80 proc. garantinio užm</w:t>
      </w:r>
      <w:r>
        <w:rPr>
          <w:color w:val="000000"/>
          <w:szCs w:val="24"/>
          <w:lang w:eastAsia="lt-LT"/>
        </w:rPr>
        <w:t>okesčio:</w:t>
      </w:r>
    </w:p>
    <w:p w14:paraId="29A88588" w14:textId="77777777" w:rsidR="001A1A75" w:rsidRDefault="008F0D82">
      <w:pPr>
        <w:suppressAutoHyphens/>
        <w:spacing w:line="360" w:lineRule="auto"/>
        <w:ind w:firstLine="312"/>
        <w:jc w:val="both"/>
        <w:textAlignment w:val="center"/>
        <w:rPr>
          <w:color w:val="000000"/>
          <w:szCs w:val="24"/>
          <w:lang w:eastAsia="lt-LT"/>
        </w:rPr>
      </w:pPr>
      <w:r>
        <w:rPr>
          <w:color w:val="000000"/>
          <w:szCs w:val="24"/>
          <w:lang w:eastAsia="lt-LT"/>
        </w:rPr>
        <w:t>4.1</w:t>
      </w:r>
      <w:r>
        <w:rPr>
          <w:color w:val="000000"/>
          <w:szCs w:val="24"/>
          <w:lang w:eastAsia="lt-LT"/>
        </w:rPr>
        <w:t>. kaimo vietovėje veikiantiems subjektams, imantiems iš kredito įstaigų kreditus su Bendrovės garantija investiciniams projektams, skirtiems pirminei žemės ūkio produktų gamybai;</w:t>
      </w:r>
    </w:p>
    <w:p w14:paraId="29A88589" w14:textId="77777777" w:rsidR="001A1A75" w:rsidRDefault="008F0D82">
      <w:pPr>
        <w:suppressAutoHyphens/>
        <w:spacing w:line="360" w:lineRule="auto"/>
        <w:ind w:firstLine="312"/>
        <w:jc w:val="both"/>
        <w:textAlignment w:val="center"/>
        <w:rPr>
          <w:color w:val="000000"/>
          <w:szCs w:val="24"/>
          <w:lang w:eastAsia="lt-LT"/>
        </w:rPr>
      </w:pPr>
      <w:r>
        <w:rPr>
          <w:color w:val="000000"/>
          <w:szCs w:val="24"/>
          <w:lang w:eastAsia="lt-LT"/>
        </w:rPr>
        <w:t>4.2</w:t>
      </w:r>
      <w:r>
        <w:rPr>
          <w:color w:val="000000"/>
          <w:szCs w:val="24"/>
          <w:lang w:eastAsia="lt-LT"/>
        </w:rPr>
        <w:t>.</w:t>
      </w:r>
      <w:r>
        <w:rPr>
          <w:b/>
          <w:bCs/>
          <w:color w:val="000000"/>
          <w:szCs w:val="24"/>
          <w:lang w:eastAsia="lt-LT"/>
        </w:rPr>
        <w:t xml:space="preserve"> </w:t>
      </w:r>
      <w:r>
        <w:rPr>
          <w:color w:val="000000"/>
          <w:szCs w:val="24"/>
          <w:lang w:eastAsia="lt-LT"/>
        </w:rPr>
        <w:t xml:space="preserve">kaimo vietovėje veikiantiems subjektams, imantiems iš </w:t>
      </w:r>
      <w:r>
        <w:rPr>
          <w:color w:val="000000"/>
          <w:szCs w:val="24"/>
          <w:lang w:eastAsia="lt-LT"/>
        </w:rPr>
        <w:t>kredito įstaigų kreditus su Bendrovės garantija investiciniams projektams, skirtiems kitai veiklai nei pirminė žemės ūkio produktų gamyba.</w:t>
      </w:r>
    </w:p>
    <w:p w14:paraId="29A8858A" w14:textId="77777777" w:rsidR="001A1A75" w:rsidRDefault="008F0D82">
      <w:pPr>
        <w:suppressAutoHyphens/>
        <w:spacing w:line="360" w:lineRule="auto"/>
        <w:ind w:firstLine="312"/>
        <w:jc w:val="both"/>
        <w:textAlignment w:val="center"/>
        <w:rPr>
          <w:color w:val="000000"/>
          <w:szCs w:val="24"/>
          <w:lang w:eastAsia="lt-LT"/>
        </w:rPr>
      </w:pPr>
      <w:r>
        <w:rPr>
          <w:color w:val="000000"/>
          <w:szCs w:val="24"/>
          <w:lang w:eastAsia="lt-LT"/>
        </w:rPr>
        <w:t>5</w:t>
      </w:r>
      <w:r>
        <w:rPr>
          <w:color w:val="000000"/>
          <w:szCs w:val="24"/>
          <w:lang w:eastAsia="lt-LT"/>
        </w:rPr>
        <w:t>. Garantinis užmokestis nekompensuojamas kaimo vietovėje veikiantiems subjektams, imantiems iš kredito įstaigų</w:t>
      </w:r>
      <w:r>
        <w:rPr>
          <w:color w:val="000000"/>
          <w:szCs w:val="24"/>
          <w:lang w:eastAsia="lt-LT"/>
        </w:rPr>
        <w:t xml:space="preserve"> kreditus investiciniams projektams:</w:t>
      </w:r>
    </w:p>
    <w:p w14:paraId="29A8858B" w14:textId="77777777" w:rsidR="001A1A75" w:rsidRDefault="008F0D82">
      <w:pPr>
        <w:suppressAutoHyphens/>
        <w:spacing w:line="360" w:lineRule="auto"/>
        <w:ind w:firstLine="312"/>
        <w:jc w:val="both"/>
        <w:textAlignment w:val="center"/>
        <w:rPr>
          <w:color w:val="000000"/>
          <w:szCs w:val="24"/>
          <w:lang w:eastAsia="lt-LT"/>
        </w:rPr>
      </w:pPr>
      <w:r>
        <w:rPr>
          <w:color w:val="000000"/>
          <w:szCs w:val="24"/>
          <w:lang w:eastAsia="lt-LT"/>
        </w:rPr>
        <w:t>5.1</w:t>
      </w:r>
      <w:r>
        <w:rPr>
          <w:color w:val="000000"/>
          <w:szCs w:val="24"/>
          <w:lang w:eastAsia="lt-LT"/>
        </w:rPr>
        <w:t>. pagal Lietuvos kaimo plėtros 2007–2013 metų programos (toliau – KPP) priemones, išskyrus priemonę „Jaunųjų ūkininkų įsikūrimas“;</w:t>
      </w:r>
    </w:p>
    <w:p w14:paraId="29A8858C" w14:textId="77777777" w:rsidR="001A1A75" w:rsidRDefault="008F0D82">
      <w:pPr>
        <w:suppressAutoHyphens/>
        <w:spacing w:line="360" w:lineRule="auto"/>
        <w:ind w:firstLine="312"/>
        <w:jc w:val="both"/>
        <w:textAlignment w:val="center"/>
        <w:rPr>
          <w:color w:val="000000"/>
          <w:szCs w:val="24"/>
          <w:lang w:eastAsia="lt-LT"/>
        </w:rPr>
      </w:pPr>
      <w:r>
        <w:rPr>
          <w:color w:val="000000"/>
          <w:szCs w:val="24"/>
          <w:lang w:eastAsia="lt-LT"/>
        </w:rPr>
        <w:t>5.2</w:t>
      </w:r>
      <w:r>
        <w:rPr>
          <w:color w:val="000000"/>
          <w:szCs w:val="24"/>
          <w:lang w:eastAsia="lt-LT"/>
        </w:rPr>
        <w:t xml:space="preserve">. pagal Lietuvos kaimo plėtros 2014–2020 m. programos priemones, išskyrus </w:t>
      </w:r>
      <w:r>
        <w:rPr>
          <w:color w:val="000000"/>
          <w:szCs w:val="24"/>
          <w:lang w:eastAsia="lt-LT"/>
        </w:rPr>
        <w:t>priemonę „Parama jaunųjų ūkininkų įsikūrimui“.</w:t>
      </w:r>
    </w:p>
    <w:p w14:paraId="29A8858D" w14:textId="77777777" w:rsidR="001A1A75" w:rsidRDefault="008F0D82">
      <w:pPr>
        <w:suppressAutoHyphens/>
        <w:spacing w:line="360" w:lineRule="auto"/>
        <w:ind w:firstLine="312"/>
        <w:jc w:val="both"/>
        <w:textAlignment w:val="center"/>
        <w:rPr>
          <w:color w:val="000000"/>
          <w:szCs w:val="24"/>
          <w:lang w:eastAsia="lt-LT"/>
        </w:rPr>
      </w:pPr>
      <w:r>
        <w:rPr>
          <w:color w:val="000000"/>
          <w:szCs w:val="24"/>
          <w:lang w:eastAsia="lt-LT"/>
        </w:rPr>
        <w:t>6</w:t>
      </w:r>
      <w:r>
        <w:rPr>
          <w:color w:val="000000"/>
          <w:szCs w:val="24"/>
          <w:lang w:eastAsia="lt-LT"/>
        </w:rPr>
        <w:t>. Šių taisyklių 4 punkte nurodytiems kaimo vietovėje veikiantiems subjektams dalis garantinio užmokesčio kompensuojama, jei kaimo vietovėje veikiantis subjektas:</w:t>
      </w:r>
    </w:p>
    <w:p w14:paraId="29A8858E" w14:textId="77777777" w:rsidR="001A1A75" w:rsidRDefault="008F0D82">
      <w:pPr>
        <w:suppressAutoHyphens/>
        <w:spacing w:line="360" w:lineRule="auto"/>
        <w:ind w:firstLine="312"/>
        <w:jc w:val="both"/>
        <w:textAlignment w:val="center"/>
        <w:rPr>
          <w:color w:val="000000"/>
          <w:szCs w:val="24"/>
          <w:lang w:eastAsia="lt-LT"/>
        </w:rPr>
      </w:pPr>
      <w:r>
        <w:rPr>
          <w:color w:val="000000"/>
          <w:szCs w:val="24"/>
          <w:lang w:eastAsia="lt-LT"/>
        </w:rPr>
        <w:t>6.1</w:t>
      </w:r>
      <w:r>
        <w:rPr>
          <w:color w:val="000000"/>
          <w:szCs w:val="24"/>
          <w:lang w:eastAsia="lt-LT"/>
        </w:rPr>
        <w:t xml:space="preserve">. atitinka mažoms ar vidutinėms </w:t>
      </w:r>
      <w:r>
        <w:rPr>
          <w:color w:val="000000"/>
          <w:szCs w:val="24"/>
          <w:lang w:eastAsia="lt-LT"/>
        </w:rPr>
        <w:t>įmonėms reglamento (ES) Nr. 702/2014 I priede ir reglamento (ES) Nr. 651/2014 I priede nustatytus kriterijus;</w:t>
      </w:r>
    </w:p>
    <w:p w14:paraId="29A8858F" w14:textId="77777777" w:rsidR="001A1A75" w:rsidRDefault="008F0D82">
      <w:pPr>
        <w:suppressAutoHyphens/>
        <w:spacing w:line="360" w:lineRule="auto"/>
        <w:ind w:firstLine="312"/>
        <w:jc w:val="both"/>
        <w:textAlignment w:val="center"/>
        <w:rPr>
          <w:color w:val="000000"/>
          <w:szCs w:val="24"/>
          <w:lang w:eastAsia="lt-LT"/>
        </w:rPr>
      </w:pPr>
      <w:r>
        <w:rPr>
          <w:color w:val="000000"/>
          <w:szCs w:val="24"/>
          <w:lang w:eastAsia="lt-LT"/>
        </w:rPr>
        <w:t>6.2</w:t>
      </w:r>
      <w:r>
        <w:rPr>
          <w:color w:val="000000"/>
          <w:szCs w:val="24"/>
          <w:lang w:eastAsia="lt-LT"/>
        </w:rPr>
        <w:t>. nėra sunkumų patirianti įmonė, kaip apibrėžta reglamento (ES) Nr. 702/2014 2 straipsnyje ir reglamento (ES) Nr. 651/2014 2 straipsnyje;</w:t>
      </w:r>
    </w:p>
    <w:p w14:paraId="29A88590" w14:textId="77777777" w:rsidR="001A1A75" w:rsidRDefault="008F0D82">
      <w:pPr>
        <w:suppressAutoHyphens/>
        <w:spacing w:line="360" w:lineRule="auto"/>
        <w:ind w:firstLine="372"/>
        <w:jc w:val="both"/>
        <w:textAlignment w:val="center"/>
        <w:rPr>
          <w:color w:val="000000"/>
          <w:szCs w:val="24"/>
          <w:lang w:eastAsia="lt-LT"/>
        </w:rPr>
      </w:pPr>
      <w:r>
        <w:rPr>
          <w:color w:val="000000"/>
          <w:szCs w:val="24"/>
          <w:lang w:eastAsia="lt-LT"/>
        </w:rPr>
        <w:t>6.3</w:t>
      </w:r>
      <w:r>
        <w:rPr>
          <w:color w:val="000000"/>
          <w:szCs w:val="24"/>
          <w:lang w:eastAsia="lt-LT"/>
        </w:rPr>
        <w:t>. ir jo sutuoktinis nedalyvauja Kaimo plėtros 2004–2006 metų plano priemonėje „Ankstyvo pasitraukimo iš prekinės žemės ūkio gamybos rėmimas“ ar KPP priemonėje „Ankstyvas pasitraukimas iš prekinės žemės ūkio gamybos“;</w:t>
      </w:r>
    </w:p>
    <w:p w14:paraId="29A88591" w14:textId="77777777" w:rsidR="001A1A75" w:rsidRDefault="008F0D82">
      <w:pPr>
        <w:overflowPunct w:val="0"/>
        <w:spacing w:line="360" w:lineRule="auto"/>
        <w:ind w:firstLine="284"/>
        <w:jc w:val="both"/>
        <w:textAlignment w:val="baseline"/>
        <w:rPr>
          <w:szCs w:val="24"/>
        </w:rPr>
      </w:pPr>
      <w:r>
        <w:rPr>
          <w:szCs w:val="24"/>
        </w:rPr>
        <w:t>6.4</w:t>
      </w:r>
      <w:r>
        <w:rPr>
          <w:szCs w:val="24"/>
        </w:rPr>
        <w:t>. nėra gavęs neteisėtos pa</w:t>
      </w:r>
      <w:r>
        <w:rPr>
          <w:szCs w:val="24"/>
        </w:rPr>
        <w:t>galbos, kuri Europos Komisijos sprendimu (dėl individualios pagalbos arba pagalbos schemos) buvo pripažinta nesuderinama su bendrąja rinka arba jis yra grąžinęs visą neteisėtos ir nesuderinamos pagalbos sumą, įskaitant palūkanas, teisės aktuose nustatyta t</w:t>
      </w:r>
      <w:r>
        <w:rPr>
          <w:szCs w:val="24"/>
        </w:rPr>
        <w:t>varka.</w:t>
      </w:r>
    </w:p>
    <w:p w14:paraId="29A88592" w14:textId="77777777" w:rsidR="001A1A75" w:rsidRDefault="008F0D82">
      <w:pPr>
        <w:suppressAutoHyphens/>
        <w:spacing w:line="360" w:lineRule="auto"/>
        <w:ind w:firstLine="312"/>
        <w:jc w:val="both"/>
        <w:textAlignment w:val="center"/>
        <w:rPr>
          <w:color w:val="000000"/>
          <w:szCs w:val="24"/>
          <w:lang w:eastAsia="lt-LT"/>
        </w:rPr>
      </w:pPr>
      <w:r>
        <w:rPr>
          <w:color w:val="000000"/>
          <w:szCs w:val="24"/>
          <w:lang w:eastAsia="lt-LT"/>
        </w:rPr>
        <w:t>7</w:t>
      </w:r>
      <w:r>
        <w:rPr>
          <w:color w:val="000000"/>
          <w:szCs w:val="24"/>
          <w:lang w:eastAsia="lt-LT"/>
        </w:rPr>
        <w:t xml:space="preserve">. Dalis garantinio užmokesčio kompensuojama, jei investiciniais projektais siekiama vieno arba kelių iš šių tikslų: </w:t>
      </w:r>
    </w:p>
    <w:p w14:paraId="29A88593" w14:textId="77777777" w:rsidR="001A1A75" w:rsidRDefault="008F0D82">
      <w:pPr>
        <w:suppressAutoHyphens/>
        <w:spacing w:line="360" w:lineRule="auto"/>
        <w:ind w:firstLine="312"/>
        <w:jc w:val="both"/>
        <w:textAlignment w:val="center"/>
        <w:rPr>
          <w:color w:val="000000"/>
          <w:szCs w:val="24"/>
          <w:lang w:eastAsia="lt-LT"/>
        </w:rPr>
      </w:pPr>
      <w:r>
        <w:rPr>
          <w:color w:val="000000"/>
          <w:szCs w:val="24"/>
          <w:lang w:eastAsia="lt-LT"/>
        </w:rPr>
        <w:t>7.1</w:t>
      </w:r>
      <w:r>
        <w:rPr>
          <w:color w:val="000000"/>
          <w:szCs w:val="24"/>
          <w:lang w:eastAsia="lt-LT"/>
        </w:rPr>
        <w:t>. gerinti bendrus ūkio veiklos rezultatus ir tvarumą, visų pirma, mažinant gamybos sąnaudas arba gerinant ir perorientuo</w:t>
      </w:r>
      <w:r>
        <w:rPr>
          <w:color w:val="000000"/>
          <w:szCs w:val="24"/>
          <w:lang w:eastAsia="lt-LT"/>
        </w:rPr>
        <w:t xml:space="preserve">jant gamybą; </w:t>
      </w:r>
    </w:p>
    <w:p w14:paraId="29A88594" w14:textId="77777777" w:rsidR="001A1A75" w:rsidRDefault="008F0D82">
      <w:pPr>
        <w:suppressAutoHyphens/>
        <w:spacing w:line="360" w:lineRule="auto"/>
        <w:ind w:firstLine="312"/>
        <w:jc w:val="both"/>
        <w:textAlignment w:val="center"/>
        <w:rPr>
          <w:color w:val="000000"/>
          <w:szCs w:val="24"/>
          <w:lang w:eastAsia="lt-LT"/>
        </w:rPr>
      </w:pPr>
      <w:r>
        <w:rPr>
          <w:color w:val="000000"/>
          <w:szCs w:val="24"/>
          <w:lang w:eastAsia="lt-LT"/>
        </w:rPr>
        <w:t>7.2</w:t>
      </w:r>
      <w:r>
        <w:rPr>
          <w:color w:val="000000"/>
          <w:szCs w:val="24"/>
          <w:lang w:eastAsia="lt-LT"/>
        </w:rPr>
        <w:t xml:space="preserve">. gerinti natūralią aplinką, higienos sąlygas arba gyvūnų gerovės standartus, su sąlyga, kad susijusiomis investicijomis laikomasi griežtesnių standartų nei galiojantieji Europos Sąjungos standartai; </w:t>
      </w:r>
    </w:p>
    <w:p w14:paraId="29A88595" w14:textId="77777777" w:rsidR="001A1A75" w:rsidRDefault="008F0D82">
      <w:pPr>
        <w:suppressAutoHyphens/>
        <w:spacing w:line="360" w:lineRule="auto"/>
        <w:ind w:firstLine="312"/>
        <w:jc w:val="both"/>
        <w:textAlignment w:val="center"/>
        <w:rPr>
          <w:color w:val="000000"/>
          <w:szCs w:val="24"/>
          <w:lang w:eastAsia="lt-LT"/>
        </w:rPr>
      </w:pPr>
      <w:r>
        <w:rPr>
          <w:color w:val="000000"/>
          <w:szCs w:val="24"/>
          <w:lang w:eastAsia="lt-LT"/>
        </w:rPr>
        <w:t>7.3</w:t>
      </w:r>
      <w:r>
        <w:rPr>
          <w:color w:val="000000"/>
          <w:szCs w:val="24"/>
          <w:lang w:eastAsia="lt-LT"/>
        </w:rPr>
        <w:t>. sukurti ir gerinti su ūki</w:t>
      </w:r>
      <w:r>
        <w:rPr>
          <w:color w:val="000000"/>
          <w:szCs w:val="24"/>
          <w:lang w:eastAsia="lt-LT"/>
        </w:rPr>
        <w:t xml:space="preserve">o plėtra, pritaikymu ir modernizavimu susijusią infrastruktūrą; </w:t>
      </w:r>
    </w:p>
    <w:p w14:paraId="29A88596" w14:textId="77777777" w:rsidR="001A1A75" w:rsidRDefault="008F0D82">
      <w:pPr>
        <w:suppressAutoHyphens/>
        <w:spacing w:line="360" w:lineRule="auto"/>
        <w:ind w:firstLine="312"/>
        <w:jc w:val="both"/>
        <w:textAlignment w:val="center"/>
        <w:rPr>
          <w:color w:val="000000"/>
          <w:szCs w:val="24"/>
          <w:lang w:eastAsia="lt-LT"/>
        </w:rPr>
      </w:pPr>
      <w:r>
        <w:rPr>
          <w:color w:val="000000"/>
          <w:szCs w:val="24"/>
          <w:lang w:eastAsia="lt-LT"/>
        </w:rPr>
        <w:t>7.4</w:t>
      </w:r>
      <w:r>
        <w:rPr>
          <w:color w:val="000000"/>
          <w:szCs w:val="24"/>
          <w:lang w:eastAsia="lt-LT"/>
        </w:rPr>
        <w:t>. įgyvendinti su agrarine aplinkosauga ir klimato kaita susijusius tikslus.</w:t>
      </w:r>
    </w:p>
    <w:p w14:paraId="29A88597" w14:textId="77777777" w:rsidR="001A1A75" w:rsidRDefault="008F0D82">
      <w:pPr>
        <w:suppressAutoHyphens/>
        <w:spacing w:line="360" w:lineRule="auto"/>
        <w:ind w:firstLine="312"/>
        <w:jc w:val="both"/>
        <w:textAlignment w:val="center"/>
        <w:rPr>
          <w:color w:val="000000"/>
          <w:szCs w:val="24"/>
          <w:lang w:eastAsia="lt-LT"/>
        </w:rPr>
      </w:pPr>
      <w:r>
        <w:rPr>
          <w:color w:val="000000"/>
          <w:szCs w:val="24"/>
          <w:lang w:eastAsia="lt-LT"/>
        </w:rPr>
        <w:t>8</w:t>
      </w:r>
      <w:r>
        <w:rPr>
          <w:color w:val="000000"/>
          <w:szCs w:val="24"/>
          <w:lang w:eastAsia="lt-LT"/>
        </w:rPr>
        <w:t>. Kaimo vietovėje veikiantiems  subjektams, nurodytiems taisyklių 4.1  papunktyje, investicinių proje</w:t>
      </w:r>
      <w:r>
        <w:rPr>
          <w:color w:val="000000"/>
          <w:szCs w:val="24"/>
          <w:lang w:eastAsia="lt-LT"/>
        </w:rPr>
        <w:t>ktų tinkamos finansuoti išlaidos yra:</w:t>
      </w:r>
    </w:p>
    <w:p w14:paraId="29A88598" w14:textId="77777777" w:rsidR="001A1A75" w:rsidRDefault="008F0D82">
      <w:pPr>
        <w:suppressAutoHyphens/>
        <w:spacing w:line="360" w:lineRule="auto"/>
        <w:ind w:firstLine="312"/>
        <w:jc w:val="both"/>
        <w:textAlignment w:val="center"/>
        <w:rPr>
          <w:color w:val="000000"/>
          <w:szCs w:val="24"/>
          <w:lang w:eastAsia="lt-LT"/>
        </w:rPr>
      </w:pPr>
      <w:r>
        <w:rPr>
          <w:color w:val="000000"/>
          <w:szCs w:val="24"/>
          <w:lang w:eastAsia="lt-LT"/>
        </w:rPr>
        <w:t>8.1</w:t>
      </w:r>
      <w:r>
        <w:rPr>
          <w:color w:val="000000"/>
          <w:szCs w:val="24"/>
          <w:lang w:eastAsia="lt-LT"/>
        </w:rPr>
        <w:t>. nekilnojamo turto statyba, jo įsigijimas arba atnaujinimas; su žeme susijusios išlaidos gali būti tinkamos finansuoti tik tuomet,  jei jos neviršija 10 proc. visų tinkamų finansuoti investicinio projekto išlaidų</w:t>
      </w:r>
      <w:r>
        <w:rPr>
          <w:color w:val="000000"/>
          <w:szCs w:val="24"/>
          <w:lang w:eastAsia="lt-LT"/>
        </w:rPr>
        <w:t>;</w:t>
      </w:r>
    </w:p>
    <w:p w14:paraId="29A88599" w14:textId="77777777" w:rsidR="001A1A75" w:rsidRDefault="008F0D82">
      <w:pPr>
        <w:suppressAutoHyphens/>
        <w:spacing w:line="360" w:lineRule="auto"/>
        <w:ind w:firstLine="312"/>
        <w:jc w:val="both"/>
        <w:textAlignment w:val="center"/>
        <w:rPr>
          <w:color w:val="000000"/>
          <w:szCs w:val="24"/>
          <w:lang w:eastAsia="lt-LT"/>
        </w:rPr>
      </w:pPr>
      <w:r>
        <w:rPr>
          <w:color w:val="000000"/>
          <w:szCs w:val="24"/>
          <w:lang w:eastAsia="lt-LT"/>
        </w:rPr>
        <w:t>8.2</w:t>
      </w:r>
      <w:r>
        <w:rPr>
          <w:color w:val="000000"/>
          <w:szCs w:val="24"/>
          <w:lang w:eastAsia="lt-LT"/>
        </w:rPr>
        <w:t>. žemės ūkio technikos įsigijimas;</w:t>
      </w:r>
    </w:p>
    <w:p w14:paraId="29A8859A" w14:textId="77777777" w:rsidR="001A1A75" w:rsidRDefault="008F0D82">
      <w:pPr>
        <w:suppressAutoHyphens/>
        <w:spacing w:line="360" w:lineRule="auto"/>
        <w:ind w:firstLine="312"/>
        <w:jc w:val="both"/>
        <w:textAlignment w:val="center"/>
        <w:rPr>
          <w:color w:val="000000"/>
          <w:szCs w:val="24"/>
          <w:lang w:eastAsia="lt-LT"/>
        </w:rPr>
      </w:pPr>
      <w:r>
        <w:rPr>
          <w:color w:val="000000"/>
          <w:szCs w:val="24"/>
          <w:lang w:eastAsia="lt-LT"/>
        </w:rPr>
        <w:t>8.3</w:t>
      </w:r>
      <w:r>
        <w:rPr>
          <w:color w:val="000000"/>
          <w:szCs w:val="24"/>
          <w:lang w:eastAsia="lt-LT"/>
        </w:rPr>
        <w:t>. kompiuterių programinės įrangos įsigijimas ar kūrimo ir patentų, licencijų, autorių teisių ir prekių ženklų įsigijimas;</w:t>
      </w:r>
    </w:p>
    <w:p w14:paraId="29A8859B" w14:textId="77777777" w:rsidR="001A1A75" w:rsidRDefault="008F0D82">
      <w:pPr>
        <w:suppressAutoHyphens/>
        <w:spacing w:line="360" w:lineRule="auto"/>
        <w:ind w:firstLine="312"/>
        <w:jc w:val="both"/>
        <w:textAlignment w:val="center"/>
        <w:rPr>
          <w:color w:val="000000"/>
          <w:szCs w:val="24"/>
          <w:lang w:eastAsia="lt-LT"/>
        </w:rPr>
      </w:pPr>
      <w:r>
        <w:rPr>
          <w:color w:val="000000"/>
          <w:szCs w:val="24"/>
          <w:lang w:eastAsia="lt-LT"/>
        </w:rPr>
        <w:t>8.4</w:t>
      </w:r>
      <w:r>
        <w:rPr>
          <w:color w:val="000000"/>
          <w:szCs w:val="24"/>
          <w:lang w:eastAsia="lt-LT"/>
        </w:rPr>
        <w:t>. bendrosios išlaidos, susijusios su taisyklių 8.1 ir 8.2 papunkčiuose nurod</w:t>
      </w:r>
      <w:r>
        <w:rPr>
          <w:color w:val="000000"/>
          <w:szCs w:val="24"/>
          <w:lang w:eastAsia="lt-LT"/>
        </w:rPr>
        <w:t>ytomis išlaidomis, pvz., atlygis architektams, inžinieriams ir konsultantams, mokesčiai, susiję su konsultacijomis, kaip siekti aplinkosaugos ir ekonominio tvarumo, įskaitant galimybių studijas; išlaidos galimybių studijoms tinkamos finansuoti net ir tuo a</w:t>
      </w:r>
      <w:r>
        <w:rPr>
          <w:color w:val="000000"/>
          <w:szCs w:val="24"/>
          <w:lang w:eastAsia="lt-LT"/>
        </w:rPr>
        <w:t>tveju, jei remiantis jų rezultatais nėra patiriama išlaidų pagal taisyklių 8.1 ir 8.2 papunkčius.</w:t>
      </w:r>
    </w:p>
    <w:p w14:paraId="29A8859C" w14:textId="77777777" w:rsidR="001A1A75" w:rsidRDefault="008F0D82">
      <w:pPr>
        <w:suppressAutoHyphens/>
        <w:spacing w:line="360" w:lineRule="auto"/>
        <w:ind w:firstLine="312"/>
        <w:jc w:val="both"/>
        <w:textAlignment w:val="center"/>
        <w:rPr>
          <w:color w:val="000000"/>
          <w:szCs w:val="24"/>
          <w:lang w:eastAsia="lt-LT"/>
        </w:rPr>
      </w:pPr>
      <w:r>
        <w:rPr>
          <w:color w:val="000000"/>
          <w:szCs w:val="24"/>
          <w:lang w:eastAsia="lt-LT"/>
        </w:rPr>
        <w:t>9</w:t>
      </w:r>
      <w:r>
        <w:rPr>
          <w:color w:val="000000"/>
          <w:szCs w:val="24"/>
          <w:lang w:eastAsia="lt-LT"/>
        </w:rPr>
        <w:t>. Kaimo vietovėje veikiantiems  subjektams, nurodytiems taisyklių 4.2  papunktyje, investicinių projektų tinkamos finansuoti išlaidos yra:</w:t>
      </w:r>
    </w:p>
    <w:p w14:paraId="29A8859D" w14:textId="77777777" w:rsidR="001A1A75" w:rsidRDefault="008F0D82">
      <w:pPr>
        <w:suppressAutoHyphens/>
        <w:spacing w:line="360" w:lineRule="auto"/>
        <w:ind w:firstLine="312"/>
        <w:jc w:val="both"/>
        <w:textAlignment w:val="center"/>
        <w:rPr>
          <w:color w:val="000000"/>
          <w:szCs w:val="24"/>
          <w:lang w:eastAsia="lt-LT"/>
        </w:rPr>
      </w:pPr>
      <w:r>
        <w:rPr>
          <w:color w:val="000000"/>
          <w:szCs w:val="24"/>
          <w:lang w:eastAsia="lt-LT"/>
        </w:rPr>
        <w:t>9.1</w:t>
      </w:r>
      <w:r>
        <w:rPr>
          <w:color w:val="000000"/>
          <w:szCs w:val="24"/>
          <w:lang w:eastAsia="lt-LT"/>
        </w:rPr>
        <w:t>. inves</w:t>
      </w:r>
      <w:r>
        <w:rPr>
          <w:color w:val="000000"/>
          <w:szCs w:val="24"/>
          <w:lang w:eastAsia="lt-LT"/>
        </w:rPr>
        <w:t>tuojant į materialųjį turtą – išlaidos, susijusios su investicijomis į žemę, pastatus,  mašinas, įrenginius ir įrangą;</w:t>
      </w:r>
    </w:p>
    <w:p w14:paraId="29A8859E" w14:textId="77777777" w:rsidR="001A1A75" w:rsidRDefault="008F0D82">
      <w:pPr>
        <w:suppressAutoHyphens/>
        <w:spacing w:line="360" w:lineRule="auto"/>
        <w:ind w:firstLine="312"/>
        <w:jc w:val="both"/>
        <w:textAlignment w:val="center"/>
        <w:rPr>
          <w:color w:val="000000"/>
          <w:szCs w:val="24"/>
          <w:lang w:eastAsia="lt-LT"/>
        </w:rPr>
      </w:pPr>
      <w:r>
        <w:rPr>
          <w:color w:val="000000"/>
          <w:szCs w:val="24"/>
          <w:lang w:eastAsia="lt-LT"/>
        </w:rPr>
        <w:t>9.2</w:t>
      </w:r>
      <w:r>
        <w:rPr>
          <w:color w:val="000000"/>
          <w:szCs w:val="24"/>
          <w:lang w:eastAsia="lt-LT"/>
        </w:rPr>
        <w:t>. investuojant į nematerialųjį turtą – išlaidos, susijusios su intelektine nuosavybe (pvz. patento teisės, licencijos, praktinė pa</w:t>
      </w:r>
      <w:r>
        <w:rPr>
          <w:color w:val="000000"/>
          <w:szCs w:val="24"/>
          <w:lang w:eastAsia="lt-LT"/>
        </w:rPr>
        <w:t>tirtis ir kt.), jei tenkinami reglamento (ES) Nr.  651/2014 17 straipsnio 4 dalyje išdėstyti reikalavimai.</w:t>
      </w:r>
    </w:p>
    <w:p w14:paraId="29A8859F" w14:textId="77777777" w:rsidR="001A1A75" w:rsidRDefault="008F0D82">
      <w:pPr>
        <w:suppressAutoHyphens/>
        <w:spacing w:line="360" w:lineRule="auto"/>
        <w:ind w:firstLine="312"/>
        <w:jc w:val="both"/>
        <w:textAlignment w:val="center"/>
        <w:rPr>
          <w:color w:val="000000"/>
          <w:szCs w:val="24"/>
          <w:lang w:eastAsia="lt-LT"/>
        </w:rPr>
      </w:pPr>
      <w:r>
        <w:rPr>
          <w:color w:val="000000"/>
          <w:szCs w:val="24"/>
          <w:lang w:eastAsia="lt-LT"/>
        </w:rPr>
        <w:t>10</w:t>
      </w:r>
      <w:r>
        <w:rPr>
          <w:color w:val="000000"/>
          <w:szCs w:val="24"/>
          <w:lang w:eastAsia="lt-LT"/>
        </w:rPr>
        <w:t>. Investicinių projektų, skirtų kitai veiklai nei pirminė žemės ūkio produktų gamyba, investicijas turi sudaryti investicijos į materialųjį i</w:t>
      </w:r>
      <w:r>
        <w:rPr>
          <w:color w:val="000000"/>
          <w:szCs w:val="24"/>
          <w:lang w:eastAsia="lt-LT"/>
        </w:rPr>
        <w:t>r (arba) nematerialųjį turtą, susijusį su naujos įmonės  kūrimu, esamos įmonės plėtimu, įmonės produkcijos įvairinimu, kai įmonė ima gaminti naujus papildomus produktus, arba esamos įmonės bendro gamybos proceso esminiu keitimu.</w:t>
      </w:r>
    </w:p>
    <w:p w14:paraId="29A885A0" w14:textId="77777777" w:rsidR="001A1A75" w:rsidRDefault="008F0D82">
      <w:pPr>
        <w:suppressAutoHyphens/>
        <w:spacing w:line="360" w:lineRule="auto"/>
        <w:ind w:firstLine="372"/>
        <w:jc w:val="both"/>
        <w:textAlignment w:val="center"/>
        <w:rPr>
          <w:color w:val="000000"/>
          <w:szCs w:val="24"/>
          <w:lang w:eastAsia="lt-LT"/>
        </w:rPr>
      </w:pPr>
      <w:r>
        <w:rPr>
          <w:color w:val="000000"/>
          <w:szCs w:val="24"/>
          <w:lang w:eastAsia="lt-LT"/>
        </w:rPr>
        <w:t>11</w:t>
      </w:r>
      <w:r>
        <w:rPr>
          <w:color w:val="000000"/>
          <w:szCs w:val="24"/>
          <w:lang w:eastAsia="lt-LT"/>
        </w:rPr>
        <w:t>. Šių taisyklių 4  punkte nurodytų kaimo vietovėje veikiančių subjektų investicinių projektų tinkamomis finansuoti išlaidomis laikomos šių taisyklių 8 ir 9 punkte nurodytos išlaidos, patirtos po Bendrovės sprendimo suteikti garantiją priėmimo dienos.</w:t>
      </w:r>
    </w:p>
    <w:p w14:paraId="29A885A1" w14:textId="77777777" w:rsidR="001A1A75" w:rsidRDefault="008F0D82">
      <w:pPr>
        <w:suppressAutoHyphens/>
        <w:spacing w:line="360" w:lineRule="auto"/>
        <w:ind w:firstLine="312"/>
        <w:jc w:val="both"/>
        <w:textAlignment w:val="center"/>
        <w:rPr>
          <w:color w:val="000000"/>
          <w:szCs w:val="24"/>
          <w:lang w:eastAsia="lt-LT"/>
        </w:rPr>
      </w:pPr>
      <w:r>
        <w:rPr>
          <w:color w:val="000000"/>
          <w:szCs w:val="24"/>
          <w:lang w:val="en-US" w:eastAsia="lt-LT"/>
        </w:rPr>
        <w:t>12</w:t>
      </w:r>
      <w:r>
        <w:rPr>
          <w:color w:val="000000"/>
          <w:szCs w:val="24"/>
          <w:lang w:val="en-US" w:eastAsia="lt-LT"/>
        </w:rPr>
        <w:t xml:space="preserve">. </w:t>
      </w:r>
      <w:r>
        <w:rPr>
          <w:color w:val="000000"/>
          <w:szCs w:val="24"/>
          <w:lang w:eastAsia="lt-LT"/>
        </w:rPr>
        <w:t>Bendras pagal šias ir kitas taisykles paramos intensyvumas vienam investiciniam projektui negali viršyti:</w:t>
      </w:r>
    </w:p>
    <w:p w14:paraId="29A885A2" w14:textId="77777777" w:rsidR="001A1A75" w:rsidRDefault="008F0D82">
      <w:pPr>
        <w:suppressAutoHyphens/>
        <w:spacing w:line="360" w:lineRule="auto"/>
        <w:ind w:firstLine="312"/>
        <w:jc w:val="both"/>
        <w:textAlignment w:val="center"/>
        <w:rPr>
          <w:color w:val="000000"/>
          <w:szCs w:val="24"/>
          <w:lang w:eastAsia="lt-LT"/>
        </w:rPr>
      </w:pPr>
      <w:r>
        <w:rPr>
          <w:color w:val="000000"/>
          <w:szCs w:val="24"/>
          <w:lang w:eastAsia="lt-LT"/>
        </w:rPr>
        <w:t>12.1</w:t>
      </w:r>
      <w:r>
        <w:rPr>
          <w:color w:val="000000"/>
          <w:szCs w:val="24"/>
          <w:lang w:eastAsia="lt-LT"/>
        </w:rPr>
        <w:t>. kaimo vietovėje veikiantiems subjektams, investuojantiems į pirminę žemės ūkio produktų gamybą, – 40 proc. tinkamų finansuoti išlaidų;</w:t>
      </w:r>
    </w:p>
    <w:p w14:paraId="29A885A3" w14:textId="77777777" w:rsidR="001A1A75" w:rsidRDefault="008F0D82">
      <w:pPr>
        <w:suppressAutoHyphens/>
        <w:spacing w:line="360" w:lineRule="auto"/>
        <w:ind w:firstLine="372"/>
        <w:jc w:val="both"/>
        <w:textAlignment w:val="center"/>
        <w:rPr>
          <w:color w:val="000000"/>
          <w:szCs w:val="24"/>
          <w:lang w:eastAsia="lt-LT"/>
        </w:rPr>
      </w:pPr>
      <w:r>
        <w:rPr>
          <w:color w:val="000000"/>
          <w:szCs w:val="24"/>
          <w:lang w:eastAsia="lt-LT"/>
        </w:rPr>
        <w:t>12.2</w:t>
      </w:r>
      <w:r>
        <w:rPr>
          <w:color w:val="000000"/>
          <w:szCs w:val="24"/>
          <w:lang w:eastAsia="lt-LT"/>
        </w:rPr>
        <w:t>. kaimo vietovėje veikiantiems subjektams, investuojantiems į kitą veiklą nei pirminė žemės ūkio produktų gamyba, – 20 proc. tinkamų finansuoti išlaidų, jeigu pagalba teikiama mažoms įmonėms, ir 10 proc. tinkamų finansuoti išlaidų, kai pagalba teikia</w:t>
      </w:r>
      <w:r>
        <w:rPr>
          <w:color w:val="000000"/>
          <w:szCs w:val="24"/>
          <w:lang w:eastAsia="lt-LT"/>
        </w:rPr>
        <w:t>ma vidutinėms įmonėms.</w:t>
      </w:r>
    </w:p>
    <w:p w14:paraId="29A885A4" w14:textId="77777777" w:rsidR="001A1A75" w:rsidRDefault="008F0D82">
      <w:pPr>
        <w:suppressAutoHyphens/>
        <w:spacing w:line="360" w:lineRule="auto"/>
        <w:ind w:firstLine="372"/>
        <w:jc w:val="both"/>
        <w:textAlignment w:val="center"/>
        <w:rPr>
          <w:color w:val="000000"/>
          <w:szCs w:val="24"/>
          <w:lang w:eastAsia="lt-LT"/>
        </w:rPr>
      </w:pPr>
      <w:r>
        <w:rPr>
          <w:color w:val="000000"/>
          <w:szCs w:val="24"/>
          <w:lang w:eastAsia="lt-LT"/>
        </w:rPr>
        <w:t>13</w:t>
      </w:r>
      <w:r>
        <w:rPr>
          <w:color w:val="000000"/>
          <w:szCs w:val="24"/>
          <w:lang w:eastAsia="lt-LT"/>
        </w:rPr>
        <w:t>. Teikiant pagalbą taisyklių 4.1 papunktyje nurodytiems kaimo vietovėje veikiantiems subjektams, turi būti tenkinamos reglamento (ES) Nr. 702/2014 14 str. 4, 5, 7, 9, 10 ir 11 dalies nuostatos.</w:t>
      </w:r>
    </w:p>
    <w:p w14:paraId="29A885A5" w14:textId="77777777" w:rsidR="001A1A75" w:rsidRDefault="008F0D82">
      <w:pPr>
        <w:suppressAutoHyphens/>
        <w:spacing w:line="360" w:lineRule="auto"/>
        <w:ind w:firstLine="312"/>
        <w:jc w:val="both"/>
        <w:textAlignment w:val="center"/>
        <w:rPr>
          <w:color w:val="000000"/>
          <w:szCs w:val="24"/>
          <w:lang w:eastAsia="lt-LT"/>
        </w:rPr>
      </w:pPr>
      <w:r>
        <w:rPr>
          <w:color w:val="000000"/>
          <w:szCs w:val="24"/>
          <w:lang w:eastAsia="lt-LT"/>
        </w:rPr>
        <w:t>14</w:t>
      </w:r>
      <w:r>
        <w:rPr>
          <w:color w:val="000000"/>
          <w:szCs w:val="24"/>
          <w:lang w:eastAsia="lt-LT"/>
        </w:rPr>
        <w:t>. Pagal šias taisykles ne</w:t>
      </w:r>
      <w:r>
        <w:rPr>
          <w:color w:val="000000"/>
          <w:szCs w:val="24"/>
          <w:lang w:eastAsia="lt-LT"/>
        </w:rPr>
        <w:t>gali būti teikiama pagalba, viršijanti reglamento (ES) Nr. 702/2014 4 straipsnio 1 dalies a punkte nustatytą 500 000 Eur ribą ir reglamento (ES) Nr. 651/2014 4 straipsnio 1 dalies c punkte nustatytą 7,5 mln. Eur ribą vieno kaimo vietovėje veikiančio subjek</w:t>
      </w:r>
      <w:r>
        <w:rPr>
          <w:color w:val="000000"/>
          <w:szCs w:val="24"/>
          <w:lang w:eastAsia="lt-LT"/>
        </w:rPr>
        <w:t>to vienam investiciniam projektui. Minėtos ribos neapeinamos dirbtinai išskaidant projektus.</w:t>
      </w:r>
    </w:p>
    <w:p w14:paraId="29A885A6" w14:textId="77777777" w:rsidR="001A1A75" w:rsidRDefault="008F0D82">
      <w:pPr>
        <w:suppressAutoHyphens/>
        <w:spacing w:line="360" w:lineRule="auto"/>
        <w:ind w:firstLine="312"/>
        <w:jc w:val="both"/>
        <w:textAlignment w:val="center"/>
        <w:rPr>
          <w:color w:val="000000"/>
          <w:szCs w:val="24"/>
          <w:lang w:eastAsia="lt-LT"/>
        </w:rPr>
      </w:pPr>
      <w:r>
        <w:rPr>
          <w:color w:val="000000"/>
          <w:szCs w:val="24"/>
          <w:lang w:eastAsia="lt-LT"/>
        </w:rPr>
        <w:t>15</w:t>
      </w:r>
      <w:r>
        <w:rPr>
          <w:color w:val="000000"/>
          <w:szCs w:val="24"/>
          <w:lang w:eastAsia="lt-LT"/>
        </w:rPr>
        <w:t xml:space="preserve">. Skaičiuojant bendrą investicinės paramos dydį, turi būti tenkinamos reglamento (ES) Nr. 702/2014 8 straipsnio ir reglamento (ES) Nr. 651/2014 8 straipsnio </w:t>
      </w:r>
      <w:r>
        <w:rPr>
          <w:color w:val="000000"/>
          <w:szCs w:val="24"/>
          <w:lang w:eastAsia="lt-LT"/>
        </w:rPr>
        <w:t>nuostatos dėl paramos sumavimo.</w:t>
      </w:r>
    </w:p>
    <w:p w14:paraId="29A885A7" w14:textId="77777777" w:rsidR="001A1A75" w:rsidRDefault="008F0D82">
      <w:pPr>
        <w:suppressAutoHyphens/>
        <w:spacing w:line="360" w:lineRule="auto"/>
        <w:ind w:firstLine="312"/>
        <w:jc w:val="both"/>
        <w:textAlignment w:val="center"/>
        <w:rPr>
          <w:color w:val="000000"/>
          <w:szCs w:val="24"/>
          <w:lang w:eastAsia="lt-LT"/>
        </w:rPr>
      </w:pPr>
    </w:p>
    <w:p w14:paraId="29A885A8" w14:textId="77777777" w:rsidR="001A1A75" w:rsidRDefault="008F0D82">
      <w:pPr>
        <w:spacing w:line="360" w:lineRule="auto"/>
        <w:jc w:val="center"/>
        <w:rPr>
          <w:b/>
          <w:bCs/>
          <w:caps/>
          <w:szCs w:val="24"/>
        </w:rPr>
      </w:pPr>
      <w:r>
        <w:rPr>
          <w:b/>
          <w:bCs/>
          <w:caps/>
          <w:szCs w:val="24"/>
        </w:rPr>
        <w:t>III</w:t>
      </w:r>
      <w:r>
        <w:rPr>
          <w:b/>
          <w:bCs/>
          <w:caps/>
          <w:szCs w:val="24"/>
        </w:rPr>
        <w:t xml:space="preserve">. </w:t>
      </w:r>
      <w:r>
        <w:rPr>
          <w:b/>
          <w:bCs/>
          <w:caps/>
          <w:szCs w:val="24"/>
        </w:rPr>
        <w:t>ADMINISTRAVIMO PROCEDŪROS</w:t>
      </w:r>
    </w:p>
    <w:p w14:paraId="29A885A9" w14:textId="77777777" w:rsidR="001A1A75" w:rsidRDefault="001A1A75">
      <w:pPr>
        <w:suppressAutoHyphens/>
        <w:spacing w:line="360" w:lineRule="auto"/>
        <w:ind w:firstLine="312"/>
        <w:jc w:val="both"/>
        <w:textAlignment w:val="center"/>
        <w:rPr>
          <w:color w:val="000000"/>
          <w:szCs w:val="24"/>
          <w:lang w:eastAsia="lt-LT"/>
        </w:rPr>
      </w:pPr>
    </w:p>
    <w:p w14:paraId="29A885AA" w14:textId="77777777" w:rsidR="001A1A75" w:rsidRDefault="008F0D82">
      <w:pPr>
        <w:suppressAutoHyphens/>
        <w:spacing w:line="360" w:lineRule="auto"/>
        <w:ind w:firstLine="312"/>
        <w:jc w:val="both"/>
        <w:textAlignment w:val="center"/>
        <w:rPr>
          <w:color w:val="000000"/>
          <w:szCs w:val="24"/>
          <w:lang w:eastAsia="lt-LT"/>
        </w:rPr>
      </w:pPr>
      <w:r>
        <w:rPr>
          <w:color w:val="000000"/>
          <w:szCs w:val="24"/>
          <w:lang w:eastAsia="lt-LT"/>
        </w:rPr>
        <w:t>16</w:t>
      </w:r>
      <w:r>
        <w:rPr>
          <w:color w:val="000000"/>
          <w:szCs w:val="24"/>
          <w:lang w:eastAsia="lt-LT"/>
        </w:rPr>
        <w:t>. Šių taisyklių 4 punkte nurodyti kaimo vietovėje veikiantys subjektai (toliau – kredito gavėjas) moka garantinį užmokestį Bendrovei už garantijos suteikimą kredito įstaigai.</w:t>
      </w:r>
    </w:p>
    <w:p w14:paraId="29A885AB" w14:textId="77777777" w:rsidR="001A1A75" w:rsidRDefault="008F0D82">
      <w:pPr>
        <w:suppressAutoHyphens/>
        <w:spacing w:line="360" w:lineRule="auto"/>
        <w:ind w:firstLine="312"/>
        <w:jc w:val="both"/>
        <w:textAlignment w:val="center"/>
        <w:rPr>
          <w:color w:val="000000"/>
          <w:szCs w:val="24"/>
          <w:lang w:eastAsia="lt-LT"/>
        </w:rPr>
      </w:pPr>
      <w:r>
        <w:rPr>
          <w:color w:val="000000"/>
          <w:szCs w:val="24"/>
          <w:lang w:eastAsia="lt-LT"/>
        </w:rPr>
        <w:t>17</w:t>
      </w:r>
      <w:r>
        <w:rPr>
          <w:color w:val="000000"/>
          <w:szCs w:val="24"/>
          <w:lang w:eastAsia="lt-LT"/>
        </w:rPr>
        <w:t>. Kredito gavėjas, norėdamas gauti dalies garantinio užmokesčio kompensaciją, kredito įstaigai kartu su teikiama paraiška dėl garantijos suteikimo ir kitais dokumentais pateikia:</w:t>
      </w:r>
    </w:p>
    <w:p w14:paraId="29A885AC" w14:textId="77777777" w:rsidR="001A1A75" w:rsidRDefault="008F0D82">
      <w:pPr>
        <w:suppressAutoHyphens/>
        <w:spacing w:line="360" w:lineRule="auto"/>
        <w:ind w:firstLine="312"/>
        <w:jc w:val="both"/>
        <w:textAlignment w:val="center"/>
        <w:rPr>
          <w:color w:val="000000"/>
          <w:szCs w:val="24"/>
          <w:lang w:eastAsia="lt-LT"/>
        </w:rPr>
      </w:pPr>
      <w:r>
        <w:rPr>
          <w:color w:val="000000"/>
          <w:szCs w:val="24"/>
          <w:lang w:eastAsia="lt-LT"/>
        </w:rPr>
        <w:t>17.1</w:t>
      </w:r>
      <w:r>
        <w:rPr>
          <w:color w:val="000000"/>
          <w:szCs w:val="24"/>
          <w:lang w:eastAsia="lt-LT"/>
        </w:rPr>
        <w:t>. paraišką dėl garantinio užmokesčio už investicinius kreditus kompen</w:t>
      </w:r>
      <w:r>
        <w:rPr>
          <w:color w:val="000000"/>
          <w:szCs w:val="24"/>
          <w:lang w:eastAsia="lt-LT"/>
        </w:rPr>
        <w:t>savimo (paraiška turi būti pildoma lietuvių kalba, paraiškos formą, kuri turi atitikti reglamento (ES) Nr. 702/2014 6 straipsnio 2 dalies ir reglamento (ES) Nr. 651/2014 6 straipsnio 2 dalies nuostatas, nustato Bendrovė ir skelbia interneto svetainėje adre</w:t>
      </w:r>
      <w:r>
        <w:rPr>
          <w:color w:val="000000"/>
          <w:szCs w:val="24"/>
          <w:lang w:eastAsia="lt-LT"/>
        </w:rPr>
        <w:t>su www.garfondas.lt) (toliau – paraiška);</w:t>
      </w:r>
    </w:p>
    <w:p w14:paraId="29A885AD" w14:textId="77777777" w:rsidR="001A1A75" w:rsidRDefault="008F0D82">
      <w:pPr>
        <w:suppressAutoHyphens/>
        <w:spacing w:line="360" w:lineRule="auto"/>
        <w:ind w:firstLine="284"/>
        <w:jc w:val="both"/>
        <w:textAlignment w:val="center"/>
        <w:rPr>
          <w:color w:val="000000"/>
          <w:szCs w:val="24"/>
          <w:lang w:eastAsia="lt-LT"/>
        </w:rPr>
      </w:pPr>
      <w:r>
        <w:rPr>
          <w:color w:val="000000"/>
          <w:szCs w:val="24"/>
          <w:lang w:eastAsia="lt-LT"/>
        </w:rPr>
        <w:t>17.2</w:t>
      </w:r>
      <w:r>
        <w:rPr>
          <w:color w:val="000000"/>
          <w:szCs w:val="24"/>
          <w:lang w:eastAsia="lt-LT"/>
        </w:rPr>
        <w:t>. žemės ūkio valdos įregistravimo dokumento patvirtintą kopiją.</w:t>
      </w:r>
    </w:p>
    <w:p w14:paraId="29A885AE" w14:textId="77777777" w:rsidR="001A1A75" w:rsidRDefault="008F0D82">
      <w:pPr>
        <w:suppressAutoHyphens/>
        <w:spacing w:line="360" w:lineRule="auto"/>
        <w:ind w:firstLine="312"/>
        <w:jc w:val="both"/>
        <w:textAlignment w:val="center"/>
        <w:rPr>
          <w:color w:val="000000"/>
          <w:szCs w:val="24"/>
          <w:lang w:eastAsia="lt-LT"/>
        </w:rPr>
      </w:pPr>
      <w:r>
        <w:rPr>
          <w:color w:val="000000"/>
          <w:szCs w:val="24"/>
          <w:lang w:val="en-US" w:eastAsia="lt-LT"/>
        </w:rPr>
        <w:t>18</w:t>
      </w:r>
      <w:r>
        <w:rPr>
          <w:color w:val="000000"/>
          <w:szCs w:val="24"/>
          <w:lang w:val="en-US" w:eastAsia="lt-LT"/>
        </w:rPr>
        <w:t xml:space="preserve">. </w:t>
      </w:r>
      <w:r>
        <w:rPr>
          <w:color w:val="000000"/>
          <w:szCs w:val="24"/>
          <w:lang w:eastAsia="lt-LT"/>
        </w:rPr>
        <w:t xml:space="preserve">Asmenų ir jų sutuoktinių, dalyvaujančių Kaimo plėtros 2004–2006 metų plano priemonėje „Ankstyvo pasitraukimo iš prekinės žemės ūkio </w:t>
      </w:r>
      <w:r>
        <w:rPr>
          <w:color w:val="000000"/>
          <w:szCs w:val="24"/>
          <w:lang w:eastAsia="lt-LT"/>
        </w:rPr>
        <w:t>gamybos rėmimas“ ir KPP priemonėje „Ankstyvas pasitraukimas iš prekinės žemės ūkio gamybos“, sąrašus, nurodydama vardą, pavardę ir asmens kodą, Bendrovei teikia Nacionalinė mokėjimo agentūra prie Žemės ūkio ministerijos (toliau – Nacionalinė mokėjimo agent</w:t>
      </w:r>
      <w:r>
        <w:rPr>
          <w:color w:val="000000"/>
          <w:szCs w:val="24"/>
          <w:lang w:eastAsia="lt-LT"/>
        </w:rPr>
        <w:t>ūra). Papildomų duomenų, kurių reikia tinkamai pagalbos intensyvumo kontrolei užtikrinti, teikimo formas ir terminus Nacionalinė mokėjimo agentūra su Bendrove suderina duomenų teikimo sutartyje.</w:t>
      </w:r>
    </w:p>
    <w:p w14:paraId="29A885AF" w14:textId="77777777" w:rsidR="001A1A75" w:rsidRDefault="008F0D82">
      <w:pPr>
        <w:suppressAutoHyphens/>
        <w:spacing w:line="360" w:lineRule="auto"/>
        <w:ind w:firstLine="312"/>
        <w:jc w:val="both"/>
        <w:textAlignment w:val="center"/>
        <w:rPr>
          <w:color w:val="000000"/>
          <w:szCs w:val="24"/>
          <w:lang w:eastAsia="lt-LT"/>
        </w:rPr>
      </w:pPr>
    </w:p>
    <w:p w14:paraId="29A885B0" w14:textId="77777777" w:rsidR="001A1A75" w:rsidRDefault="008F0D82">
      <w:pPr>
        <w:spacing w:line="360" w:lineRule="auto"/>
        <w:jc w:val="center"/>
        <w:rPr>
          <w:b/>
          <w:bCs/>
          <w:caps/>
          <w:szCs w:val="24"/>
        </w:rPr>
      </w:pPr>
      <w:r>
        <w:rPr>
          <w:b/>
          <w:bCs/>
          <w:caps/>
          <w:szCs w:val="24"/>
        </w:rPr>
        <w:t>IV</w:t>
      </w:r>
      <w:r>
        <w:rPr>
          <w:b/>
          <w:bCs/>
          <w:caps/>
          <w:szCs w:val="24"/>
        </w:rPr>
        <w:t xml:space="preserve">. </w:t>
      </w:r>
      <w:r>
        <w:rPr>
          <w:b/>
          <w:bCs/>
          <w:caps/>
          <w:szCs w:val="24"/>
        </w:rPr>
        <w:t>PAGALBOS SKYRIMAS IR IŠMOKĖJIMAS</w:t>
      </w:r>
    </w:p>
    <w:p w14:paraId="29A885B1" w14:textId="77777777" w:rsidR="001A1A75" w:rsidRDefault="001A1A75">
      <w:pPr>
        <w:suppressAutoHyphens/>
        <w:spacing w:line="360" w:lineRule="auto"/>
        <w:ind w:firstLine="312"/>
        <w:jc w:val="both"/>
        <w:textAlignment w:val="center"/>
        <w:rPr>
          <w:color w:val="000000"/>
          <w:szCs w:val="24"/>
          <w:lang w:eastAsia="lt-LT"/>
        </w:rPr>
      </w:pPr>
    </w:p>
    <w:p w14:paraId="29A885B2" w14:textId="77777777" w:rsidR="001A1A75" w:rsidRDefault="008F0D82">
      <w:pPr>
        <w:suppressAutoHyphens/>
        <w:spacing w:line="360" w:lineRule="auto"/>
        <w:ind w:firstLine="312"/>
        <w:jc w:val="both"/>
        <w:textAlignment w:val="center"/>
        <w:rPr>
          <w:color w:val="000000"/>
          <w:szCs w:val="24"/>
          <w:lang w:eastAsia="lt-LT"/>
        </w:rPr>
      </w:pPr>
      <w:r>
        <w:rPr>
          <w:color w:val="000000"/>
          <w:szCs w:val="24"/>
          <w:lang w:eastAsia="lt-LT"/>
        </w:rPr>
        <w:t>19</w:t>
      </w:r>
      <w:r>
        <w:rPr>
          <w:color w:val="000000"/>
          <w:szCs w:val="24"/>
          <w:lang w:eastAsia="lt-LT"/>
        </w:rPr>
        <w:t>. Bendrovė</w:t>
      </w:r>
      <w:r>
        <w:rPr>
          <w:color w:val="000000"/>
          <w:szCs w:val="24"/>
          <w:lang w:eastAsia="lt-LT"/>
        </w:rPr>
        <w:t>s valdybai priėmus sprendimą suteikti garantiją kredito įstaigai dėl jos kredito gavėjui teikiamo kredito, Bendrovė apskaičiuoja už garantijos suteikimą mokamo garantinio užmokesčio dydį.</w:t>
      </w:r>
    </w:p>
    <w:p w14:paraId="29A885B3" w14:textId="77777777" w:rsidR="001A1A75" w:rsidRDefault="008F0D82">
      <w:pPr>
        <w:suppressAutoHyphens/>
        <w:spacing w:line="360" w:lineRule="auto"/>
        <w:ind w:firstLine="312"/>
        <w:jc w:val="both"/>
        <w:textAlignment w:val="center"/>
        <w:rPr>
          <w:color w:val="000000"/>
          <w:szCs w:val="24"/>
          <w:lang w:eastAsia="lt-LT"/>
        </w:rPr>
      </w:pPr>
      <w:r>
        <w:rPr>
          <w:color w:val="000000"/>
          <w:szCs w:val="24"/>
          <w:lang w:eastAsia="lt-LT"/>
        </w:rPr>
        <w:t>20</w:t>
      </w:r>
      <w:r>
        <w:rPr>
          <w:color w:val="000000"/>
          <w:szCs w:val="24"/>
          <w:lang w:eastAsia="lt-LT"/>
        </w:rPr>
        <w:t xml:space="preserve">. Bendrovės valdyba pagal kreditų gavėjų pateiktus dokumentus </w:t>
      </w:r>
      <w:r>
        <w:rPr>
          <w:color w:val="000000"/>
          <w:szCs w:val="24"/>
          <w:lang w:eastAsia="lt-LT"/>
        </w:rPr>
        <w:t>ir informaciją, nurodytus taisyklių 17 punkte, atsižvelgusi į Nacionalinės mokėjimo agentūros pateiktą informaciją, nurodytą taisyklių 18 punkte, ir apskaičiuotą pagalbos dydį, įvertina kredito gavėjo tinkamumą dalies garantinio užmokesčio kompensacijai ga</w:t>
      </w:r>
      <w:r>
        <w:rPr>
          <w:color w:val="000000"/>
          <w:szCs w:val="24"/>
          <w:lang w:eastAsia="lt-LT"/>
        </w:rPr>
        <w:t>uti ir priima sprendimą dėl pagalbos skyrimo ar neskyrimo.</w:t>
      </w:r>
    </w:p>
    <w:p w14:paraId="29A885B4" w14:textId="77777777" w:rsidR="001A1A75" w:rsidRDefault="008F0D82">
      <w:pPr>
        <w:suppressAutoHyphens/>
        <w:spacing w:line="360" w:lineRule="auto"/>
        <w:ind w:firstLine="312"/>
        <w:jc w:val="both"/>
        <w:textAlignment w:val="center"/>
        <w:rPr>
          <w:color w:val="000000"/>
          <w:szCs w:val="24"/>
          <w:lang w:eastAsia="lt-LT"/>
        </w:rPr>
      </w:pPr>
      <w:r>
        <w:rPr>
          <w:color w:val="000000"/>
          <w:szCs w:val="24"/>
          <w:lang w:eastAsia="lt-LT"/>
        </w:rPr>
        <w:t>21</w:t>
      </w:r>
      <w:r>
        <w:rPr>
          <w:color w:val="000000"/>
          <w:szCs w:val="24"/>
          <w:lang w:eastAsia="lt-LT"/>
        </w:rPr>
        <w:t>. Jei priimamas sprendimas skirti pagalbą, Bendrovė apskaičiuoja kompensuojamąją garantinio užmokesčio dalį ir ne vėliau kaip per 5 darbo dienas nuo šio sprendimo priėmimo dienos išsiunčia kr</w:t>
      </w:r>
      <w:r>
        <w:rPr>
          <w:color w:val="000000"/>
          <w:szCs w:val="24"/>
          <w:lang w:eastAsia="lt-LT"/>
        </w:rPr>
        <w:t>edito gavėjui ir Nacionalinei mokėjimo agentūrai informaciją raštu apie kredito gavėjo investiciniam projektui numatytos skirti pagalbos pobūdį ir dydį.</w:t>
      </w:r>
    </w:p>
    <w:p w14:paraId="29A885B5" w14:textId="77777777" w:rsidR="001A1A75" w:rsidRDefault="008F0D82">
      <w:pPr>
        <w:suppressAutoHyphens/>
        <w:spacing w:line="360" w:lineRule="auto"/>
        <w:ind w:firstLine="312"/>
        <w:jc w:val="both"/>
        <w:textAlignment w:val="center"/>
        <w:rPr>
          <w:color w:val="000000"/>
          <w:szCs w:val="24"/>
          <w:lang w:eastAsia="lt-LT"/>
        </w:rPr>
      </w:pPr>
      <w:r>
        <w:rPr>
          <w:color w:val="000000"/>
          <w:szCs w:val="24"/>
          <w:lang w:eastAsia="lt-LT"/>
        </w:rPr>
        <w:t>22</w:t>
      </w:r>
      <w:r>
        <w:rPr>
          <w:color w:val="000000"/>
          <w:szCs w:val="24"/>
          <w:lang w:eastAsia="lt-LT"/>
        </w:rPr>
        <w:t>. Jei priimamas sprendimas pagalbos neskirti, Bendrovė ne vėliau kaip per 5 darbo dienas nuo spre</w:t>
      </w:r>
      <w:r>
        <w:rPr>
          <w:color w:val="000000"/>
          <w:szCs w:val="24"/>
          <w:lang w:eastAsia="lt-LT"/>
        </w:rPr>
        <w:t>ndimo priėmimo dienos išsiunčia šį sprendimą kredito gavėjui. Sprendimas dėl pagalbos neskyrimo turi atitikti Lietuvos Respublikos viešojo administravimo įstatymo reikalavimus.</w:t>
      </w:r>
    </w:p>
    <w:p w14:paraId="29A885B6" w14:textId="77777777" w:rsidR="001A1A75" w:rsidRDefault="008F0D82">
      <w:pPr>
        <w:suppressAutoHyphens/>
        <w:spacing w:line="360" w:lineRule="auto"/>
        <w:ind w:firstLine="312"/>
        <w:jc w:val="both"/>
        <w:textAlignment w:val="center"/>
        <w:rPr>
          <w:color w:val="000000"/>
          <w:szCs w:val="24"/>
          <w:lang w:eastAsia="lt-LT"/>
        </w:rPr>
      </w:pPr>
      <w:r>
        <w:rPr>
          <w:color w:val="000000"/>
          <w:szCs w:val="24"/>
          <w:lang w:eastAsia="lt-LT"/>
        </w:rPr>
        <w:t>23</w:t>
      </w:r>
      <w:r>
        <w:rPr>
          <w:color w:val="000000"/>
          <w:szCs w:val="24"/>
          <w:lang w:eastAsia="lt-LT"/>
        </w:rPr>
        <w:t>. Kredito gavėjui sumokėjus garantinio užmokesčio dalį (be kompensuojamos</w:t>
      </w:r>
      <w:r>
        <w:rPr>
          <w:color w:val="000000"/>
          <w:szCs w:val="24"/>
          <w:lang w:eastAsia="lt-LT"/>
        </w:rPr>
        <w:t>ios dalies), Bendrovė suteikia garantiją kredito įstaigai ir pateikia Žemės ūkio ministerijos Finansų ir biudžeto departamentui (toliau – Finansų ir biudžeto departamentas) pažymą apie lėšų poreikį kreditų gavėjų garantinio užmokesčio daliai kompensuoti (p</w:t>
      </w:r>
      <w:r>
        <w:rPr>
          <w:color w:val="000000"/>
          <w:szCs w:val="24"/>
          <w:lang w:eastAsia="lt-LT"/>
        </w:rPr>
        <w:t>riedas).</w:t>
      </w:r>
    </w:p>
    <w:p w14:paraId="29A885B7" w14:textId="77777777" w:rsidR="001A1A75" w:rsidRDefault="008F0D82">
      <w:pPr>
        <w:suppressAutoHyphens/>
        <w:spacing w:line="360" w:lineRule="auto"/>
        <w:ind w:firstLine="312"/>
        <w:jc w:val="both"/>
        <w:textAlignment w:val="center"/>
        <w:rPr>
          <w:color w:val="000000"/>
          <w:szCs w:val="24"/>
          <w:lang w:eastAsia="lt-LT"/>
        </w:rPr>
      </w:pPr>
      <w:r>
        <w:rPr>
          <w:color w:val="000000"/>
          <w:szCs w:val="24"/>
          <w:lang w:eastAsia="lt-LT"/>
        </w:rPr>
        <w:t>24</w:t>
      </w:r>
      <w:r>
        <w:rPr>
          <w:color w:val="000000"/>
          <w:szCs w:val="24"/>
          <w:lang w:eastAsia="lt-LT"/>
        </w:rPr>
        <w:t>. Žemės ūkio ministerijos Buhalterinės apskaitos skyrius pagal raštu gautą Finansų ir biudžeto departamento pažymą apie lėšų poreikį kreditų gavėjų garantinio užmokesčio daliai kompensuoti (toliau – pažyma), vadovaudamasis Valstybės biudžeto</w:t>
      </w:r>
      <w:r>
        <w:rPr>
          <w:color w:val="000000"/>
          <w:szCs w:val="24"/>
          <w:lang w:eastAsia="lt-LT"/>
        </w:rPr>
        <w:t xml:space="preserve"> lėšų išdavimo iš valstybės iždo sąskaitos taisyklėmis, patvirtintomis Lietuvos Respublikos finansų ministro 2000 m. liepos 21 d. įsakymu Nr. 195 „Dėl Valstybės biudžeto lėšų išdavimo iš valstybės iždo sąskaitos taisyklių patvirtinimo“, parengia mokėjimo p</w:t>
      </w:r>
      <w:r>
        <w:rPr>
          <w:color w:val="000000"/>
          <w:szCs w:val="24"/>
          <w:lang w:eastAsia="lt-LT"/>
        </w:rPr>
        <w:t>araišką Finansų ministerijos Valstybės iždo departamentui (toliau – Valstybės iždo departamentas) dėl lėšų kreditų gavėjų garantinio užmokesčio daliai kompensuoti pervedimo į Bendrovės sąskaitą. Mokėjimo paraiška parengiama ir pateikiama Valstybės iždo dep</w:t>
      </w:r>
      <w:r>
        <w:rPr>
          <w:color w:val="000000"/>
          <w:szCs w:val="24"/>
          <w:lang w:eastAsia="lt-LT"/>
        </w:rPr>
        <w:t>artamentui per 5 darbo dienas nuo Finansų ir biudžeto departamento pažymos raštu gavimo dienos.</w:t>
      </w:r>
    </w:p>
    <w:p w14:paraId="29A885B8" w14:textId="77777777" w:rsidR="001A1A75" w:rsidRDefault="008F0D82">
      <w:pPr>
        <w:suppressAutoHyphens/>
        <w:spacing w:line="360" w:lineRule="auto"/>
        <w:ind w:firstLine="312"/>
        <w:jc w:val="both"/>
        <w:textAlignment w:val="center"/>
        <w:rPr>
          <w:color w:val="000000"/>
          <w:szCs w:val="24"/>
          <w:lang w:eastAsia="lt-LT"/>
        </w:rPr>
      </w:pPr>
    </w:p>
    <w:p w14:paraId="29A885B9" w14:textId="77777777" w:rsidR="001A1A75" w:rsidRDefault="008F0D82">
      <w:pPr>
        <w:spacing w:line="360" w:lineRule="auto"/>
        <w:jc w:val="center"/>
        <w:rPr>
          <w:b/>
          <w:bCs/>
          <w:caps/>
          <w:szCs w:val="24"/>
        </w:rPr>
      </w:pPr>
      <w:r>
        <w:rPr>
          <w:b/>
          <w:bCs/>
          <w:caps/>
          <w:szCs w:val="24"/>
        </w:rPr>
        <w:t>V</w:t>
      </w:r>
      <w:r>
        <w:rPr>
          <w:b/>
          <w:bCs/>
          <w:caps/>
          <w:szCs w:val="24"/>
        </w:rPr>
        <w:t xml:space="preserve">. </w:t>
      </w:r>
      <w:r>
        <w:rPr>
          <w:b/>
          <w:bCs/>
          <w:caps/>
          <w:szCs w:val="24"/>
        </w:rPr>
        <w:t>ATSAKOMYBĖ</w:t>
      </w:r>
    </w:p>
    <w:p w14:paraId="29A885BA" w14:textId="77777777" w:rsidR="001A1A75" w:rsidRDefault="001A1A75">
      <w:pPr>
        <w:suppressAutoHyphens/>
        <w:spacing w:line="360" w:lineRule="auto"/>
        <w:ind w:firstLine="312"/>
        <w:jc w:val="both"/>
        <w:textAlignment w:val="center"/>
        <w:rPr>
          <w:color w:val="000000"/>
          <w:szCs w:val="24"/>
          <w:lang w:eastAsia="lt-LT"/>
        </w:rPr>
      </w:pPr>
    </w:p>
    <w:p w14:paraId="29A885BB" w14:textId="77777777" w:rsidR="001A1A75" w:rsidRDefault="008F0D82">
      <w:pPr>
        <w:suppressAutoHyphens/>
        <w:spacing w:line="360" w:lineRule="auto"/>
        <w:ind w:firstLine="312"/>
        <w:jc w:val="both"/>
        <w:textAlignment w:val="center"/>
        <w:rPr>
          <w:color w:val="000000"/>
          <w:szCs w:val="24"/>
          <w:lang w:eastAsia="lt-LT"/>
        </w:rPr>
      </w:pPr>
      <w:r>
        <w:rPr>
          <w:color w:val="000000"/>
          <w:szCs w:val="24"/>
          <w:lang w:eastAsia="lt-LT"/>
        </w:rPr>
        <w:t>25</w:t>
      </w:r>
      <w:r>
        <w:rPr>
          <w:color w:val="000000"/>
          <w:szCs w:val="24"/>
          <w:lang w:eastAsia="lt-LT"/>
        </w:rPr>
        <w:t xml:space="preserve">. Kreditų gavėjai, neteisėtai gavę pagalbą pagal šias taisykles, arba asmenys, prisidėję prie jos neteisėto gavimo (sąmoningai </w:t>
      </w:r>
      <w:r>
        <w:rPr>
          <w:color w:val="000000"/>
          <w:szCs w:val="24"/>
          <w:lang w:eastAsia="lt-LT"/>
        </w:rPr>
        <w:t>pateikė klaidingus duomenis), atsako Lietuvos Respublikos teisės aktų nustatyta tvarka.</w:t>
      </w:r>
    </w:p>
    <w:p w14:paraId="29A885BC" w14:textId="77777777" w:rsidR="001A1A75" w:rsidRDefault="008F0D82">
      <w:pPr>
        <w:suppressAutoHyphens/>
        <w:spacing w:line="360" w:lineRule="auto"/>
        <w:ind w:firstLine="312"/>
        <w:jc w:val="both"/>
        <w:textAlignment w:val="center"/>
        <w:rPr>
          <w:color w:val="000000"/>
          <w:szCs w:val="24"/>
          <w:lang w:eastAsia="lt-LT"/>
        </w:rPr>
      </w:pPr>
      <w:r>
        <w:rPr>
          <w:color w:val="000000"/>
          <w:szCs w:val="24"/>
          <w:lang w:eastAsia="lt-LT"/>
        </w:rPr>
        <w:t>26</w:t>
      </w:r>
      <w:r>
        <w:rPr>
          <w:color w:val="000000"/>
          <w:szCs w:val="24"/>
          <w:lang w:eastAsia="lt-LT"/>
        </w:rPr>
        <w:t>. Asmenys, pažeidę šių taisyklių reikalavimus, atsako Lietuvos Respublikos teisės aktų nustatyta tvarka.</w:t>
      </w:r>
    </w:p>
    <w:p w14:paraId="29A885BD" w14:textId="77777777" w:rsidR="001A1A75" w:rsidRDefault="008F0D82">
      <w:pPr>
        <w:suppressAutoHyphens/>
        <w:spacing w:line="360" w:lineRule="auto"/>
        <w:ind w:firstLine="312"/>
        <w:jc w:val="both"/>
        <w:textAlignment w:val="center"/>
        <w:rPr>
          <w:color w:val="000000"/>
          <w:szCs w:val="24"/>
          <w:lang w:eastAsia="lt-LT"/>
        </w:rPr>
      </w:pPr>
    </w:p>
    <w:p w14:paraId="29A885BE" w14:textId="77777777" w:rsidR="001A1A75" w:rsidRDefault="008F0D82">
      <w:pPr>
        <w:spacing w:line="360" w:lineRule="auto"/>
        <w:jc w:val="center"/>
        <w:rPr>
          <w:b/>
          <w:bCs/>
          <w:caps/>
          <w:szCs w:val="24"/>
        </w:rPr>
      </w:pPr>
      <w:r>
        <w:rPr>
          <w:b/>
          <w:bCs/>
          <w:caps/>
          <w:szCs w:val="24"/>
        </w:rPr>
        <w:t>VI</w:t>
      </w:r>
      <w:r>
        <w:rPr>
          <w:b/>
          <w:bCs/>
          <w:caps/>
          <w:szCs w:val="24"/>
        </w:rPr>
        <w:t xml:space="preserve">. </w:t>
      </w:r>
      <w:r>
        <w:rPr>
          <w:b/>
          <w:bCs/>
          <w:caps/>
          <w:szCs w:val="24"/>
        </w:rPr>
        <w:t>BAIGIAMOSIOS NUOSTATOS</w:t>
      </w:r>
    </w:p>
    <w:p w14:paraId="29A885BF" w14:textId="77777777" w:rsidR="001A1A75" w:rsidRDefault="001A1A75">
      <w:pPr>
        <w:suppressAutoHyphens/>
        <w:spacing w:line="360" w:lineRule="auto"/>
        <w:ind w:firstLine="312"/>
        <w:jc w:val="both"/>
        <w:textAlignment w:val="center"/>
        <w:rPr>
          <w:color w:val="000000"/>
          <w:szCs w:val="24"/>
          <w:lang w:eastAsia="lt-LT"/>
        </w:rPr>
      </w:pPr>
    </w:p>
    <w:p w14:paraId="29A885C0" w14:textId="77777777" w:rsidR="001A1A75" w:rsidRDefault="008F0D82">
      <w:pPr>
        <w:suppressAutoHyphens/>
        <w:spacing w:line="360" w:lineRule="auto"/>
        <w:ind w:firstLine="312"/>
        <w:jc w:val="both"/>
        <w:textAlignment w:val="center"/>
        <w:rPr>
          <w:color w:val="000000"/>
          <w:szCs w:val="24"/>
          <w:lang w:eastAsia="lt-LT"/>
        </w:rPr>
      </w:pPr>
      <w:r>
        <w:rPr>
          <w:color w:val="000000"/>
          <w:szCs w:val="24"/>
          <w:lang w:eastAsia="lt-LT"/>
        </w:rPr>
        <w:t>27</w:t>
      </w:r>
      <w:r>
        <w:rPr>
          <w:color w:val="000000"/>
          <w:szCs w:val="24"/>
          <w:lang w:eastAsia="lt-LT"/>
        </w:rPr>
        <w:t xml:space="preserve">. Atsižvelgiant </w:t>
      </w:r>
      <w:r>
        <w:rPr>
          <w:color w:val="000000"/>
          <w:szCs w:val="24"/>
          <w:lang w:eastAsia="lt-LT"/>
        </w:rPr>
        <w:t>į einamaisiais metais pagalbai skiriamas lėšas, kompensuojama garantinio užmokesčio dalis gali būti mažinama.</w:t>
      </w:r>
    </w:p>
    <w:p w14:paraId="29A885C1" w14:textId="77777777" w:rsidR="001A1A75" w:rsidRDefault="008F0D82">
      <w:pPr>
        <w:suppressAutoHyphens/>
        <w:spacing w:line="360" w:lineRule="auto"/>
        <w:ind w:firstLine="312"/>
        <w:jc w:val="both"/>
        <w:textAlignment w:val="center"/>
        <w:rPr>
          <w:color w:val="000000"/>
          <w:szCs w:val="24"/>
          <w:lang w:eastAsia="lt-LT"/>
        </w:rPr>
      </w:pPr>
      <w:r>
        <w:rPr>
          <w:color w:val="000000"/>
          <w:szCs w:val="24"/>
          <w:lang w:eastAsia="lt-LT"/>
        </w:rPr>
        <w:t>28</w:t>
      </w:r>
      <w:r>
        <w:rPr>
          <w:color w:val="000000"/>
          <w:szCs w:val="24"/>
          <w:lang w:eastAsia="lt-LT"/>
        </w:rPr>
        <w:t>. Siekiant viešo ir skaidraus pagalbai išmokėti skirtų lėšų panaudojimo, Žemės ūkio ministerijai pavedus, gali būti skelbiami kreditų gavėjų</w:t>
      </w:r>
      <w:r>
        <w:rPr>
          <w:color w:val="000000"/>
          <w:szCs w:val="24"/>
          <w:lang w:eastAsia="lt-LT"/>
        </w:rPr>
        <w:t>, kuriems iš valstybės biudžeto skirta pagalba, sąrašai ir skirtos sumos.</w:t>
      </w:r>
    </w:p>
    <w:p w14:paraId="29A885C2" w14:textId="77777777" w:rsidR="001A1A75" w:rsidRDefault="008F0D82">
      <w:pPr>
        <w:suppressAutoHyphens/>
        <w:spacing w:line="360" w:lineRule="auto"/>
        <w:ind w:firstLine="312"/>
        <w:jc w:val="both"/>
        <w:textAlignment w:val="center"/>
        <w:rPr>
          <w:color w:val="000000"/>
          <w:szCs w:val="24"/>
          <w:lang w:eastAsia="lt-LT"/>
        </w:rPr>
      </w:pPr>
      <w:r>
        <w:rPr>
          <w:color w:val="000000"/>
          <w:szCs w:val="24"/>
          <w:lang w:eastAsia="lt-LT"/>
        </w:rPr>
        <w:t>29</w:t>
      </w:r>
      <w:r>
        <w:rPr>
          <w:color w:val="000000"/>
          <w:szCs w:val="24"/>
          <w:lang w:eastAsia="lt-LT"/>
        </w:rPr>
        <w:t xml:space="preserve">. Bendrovė privalo ne trumpiau kaip 10 metų nuo paskutinės pagalbos suteikimo dienos saugoti visą su pagalbos teikimu susijusią informaciją ir dokumentus. </w:t>
      </w:r>
    </w:p>
    <w:p w14:paraId="29A885C4" w14:textId="35A596AD" w:rsidR="001A1A75" w:rsidRDefault="008F0D82" w:rsidP="008F0D82">
      <w:pPr>
        <w:suppressAutoHyphens/>
        <w:spacing w:line="360" w:lineRule="auto"/>
        <w:ind w:firstLine="312"/>
        <w:jc w:val="center"/>
        <w:textAlignment w:val="center"/>
        <w:rPr>
          <w:rFonts w:ascii="TimesLT" w:hAnsi="TimesLT"/>
          <w:sz w:val="20"/>
        </w:rPr>
      </w:pPr>
      <w:r>
        <w:rPr>
          <w:color w:val="000000"/>
          <w:szCs w:val="24"/>
          <w:lang w:eastAsia="lt-LT"/>
        </w:rPr>
        <w:t>________________</w:t>
      </w:r>
      <w:r>
        <w:rPr>
          <w:color w:val="000000"/>
          <w:szCs w:val="24"/>
          <w:lang w:eastAsia="lt-LT"/>
        </w:rPr>
        <w:t>___</w:t>
      </w:r>
    </w:p>
    <w:p w14:paraId="3034CFAC" w14:textId="77777777" w:rsidR="008F0D82" w:rsidRDefault="008F0D82">
      <w:pPr>
        <w:tabs>
          <w:tab w:val="left" w:pos="1304"/>
          <w:tab w:val="left" w:pos="1457"/>
          <w:tab w:val="left" w:pos="1604"/>
          <w:tab w:val="left" w:pos="1757"/>
        </w:tabs>
        <w:spacing w:line="283" w:lineRule="auto"/>
        <w:ind w:left="5953"/>
      </w:pPr>
      <w:r>
        <w:br w:type="page"/>
      </w:r>
    </w:p>
    <w:p w14:paraId="29A885C5" w14:textId="7034AF45" w:rsidR="001A1A75" w:rsidRDefault="008F0D82">
      <w:pPr>
        <w:tabs>
          <w:tab w:val="left" w:pos="1304"/>
          <w:tab w:val="left" w:pos="1457"/>
          <w:tab w:val="left" w:pos="1604"/>
          <w:tab w:val="left" w:pos="1757"/>
        </w:tabs>
        <w:spacing w:line="283" w:lineRule="auto"/>
        <w:ind w:left="5953"/>
        <w:rPr>
          <w:rFonts w:ascii="TimesLT" w:hAnsi="TimesLT"/>
          <w:sz w:val="20"/>
        </w:rPr>
      </w:pPr>
      <w:r>
        <w:rPr>
          <w:rFonts w:ascii="TimesLT" w:hAnsi="TimesLT"/>
          <w:sz w:val="20"/>
        </w:rPr>
        <w:lastRenderedPageBreak/>
        <w:t>Dalies garantinio užmokesčio</w:t>
      </w:r>
    </w:p>
    <w:p w14:paraId="29A885C6" w14:textId="77777777" w:rsidR="001A1A75" w:rsidRDefault="008F0D82">
      <w:pPr>
        <w:tabs>
          <w:tab w:val="left" w:pos="1304"/>
          <w:tab w:val="left" w:pos="1457"/>
          <w:tab w:val="left" w:pos="1604"/>
          <w:tab w:val="left" w:pos="1757"/>
        </w:tabs>
        <w:spacing w:line="283" w:lineRule="auto"/>
        <w:ind w:left="5953"/>
        <w:rPr>
          <w:rFonts w:ascii="TimesLT" w:hAnsi="TimesLT"/>
          <w:sz w:val="20"/>
        </w:rPr>
      </w:pPr>
      <w:r>
        <w:rPr>
          <w:rFonts w:ascii="TimesLT" w:hAnsi="TimesLT"/>
          <w:sz w:val="20"/>
        </w:rPr>
        <w:t>kreditų gavėjams</w:t>
      </w:r>
    </w:p>
    <w:p w14:paraId="29A885C7" w14:textId="77777777" w:rsidR="001A1A75" w:rsidRDefault="008F0D82">
      <w:pPr>
        <w:tabs>
          <w:tab w:val="left" w:pos="1304"/>
          <w:tab w:val="left" w:pos="1457"/>
          <w:tab w:val="left" w:pos="1604"/>
          <w:tab w:val="left" w:pos="1757"/>
        </w:tabs>
        <w:spacing w:line="283" w:lineRule="auto"/>
        <w:ind w:left="5953"/>
        <w:rPr>
          <w:rFonts w:ascii="TimesLT" w:hAnsi="TimesLT"/>
          <w:sz w:val="20"/>
        </w:rPr>
      </w:pPr>
      <w:r>
        <w:rPr>
          <w:rFonts w:ascii="TimesLT" w:hAnsi="TimesLT"/>
          <w:sz w:val="20"/>
        </w:rPr>
        <w:t>kompensavimo taisyklių</w:t>
      </w:r>
    </w:p>
    <w:p w14:paraId="29A885C8" w14:textId="77777777" w:rsidR="001A1A75" w:rsidRDefault="008F0D82">
      <w:pPr>
        <w:tabs>
          <w:tab w:val="left" w:pos="1304"/>
          <w:tab w:val="left" w:pos="1457"/>
          <w:tab w:val="left" w:pos="1604"/>
          <w:tab w:val="left" w:pos="1757"/>
        </w:tabs>
        <w:spacing w:line="283" w:lineRule="auto"/>
        <w:ind w:left="5953"/>
        <w:rPr>
          <w:rFonts w:ascii="TimesLT" w:hAnsi="TimesLT"/>
          <w:sz w:val="22"/>
          <w:szCs w:val="22"/>
        </w:rPr>
      </w:pPr>
      <w:r>
        <w:rPr>
          <w:rFonts w:ascii="TimesLT" w:hAnsi="TimesLT"/>
          <w:sz w:val="20"/>
        </w:rPr>
        <w:t>priedas</w:t>
      </w:r>
    </w:p>
    <w:p w14:paraId="29A885C9" w14:textId="77777777" w:rsidR="001A1A75" w:rsidRDefault="001A1A75">
      <w:pPr>
        <w:suppressAutoHyphens/>
        <w:spacing w:line="283" w:lineRule="auto"/>
        <w:ind w:firstLine="312"/>
        <w:jc w:val="both"/>
        <w:textAlignment w:val="center"/>
        <w:rPr>
          <w:color w:val="000000"/>
          <w:sz w:val="22"/>
          <w:szCs w:val="22"/>
          <w:lang w:eastAsia="lt-LT"/>
        </w:rPr>
      </w:pPr>
    </w:p>
    <w:p w14:paraId="29A885CA" w14:textId="77777777" w:rsidR="001A1A75" w:rsidRDefault="008F0D82">
      <w:pPr>
        <w:spacing w:line="283" w:lineRule="auto"/>
        <w:jc w:val="center"/>
        <w:rPr>
          <w:rFonts w:ascii="TimesLT" w:hAnsi="TimesLT"/>
          <w:b/>
          <w:bCs/>
          <w:sz w:val="22"/>
          <w:szCs w:val="22"/>
        </w:rPr>
      </w:pPr>
      <w:r>
        <w:rPr>
          <w:rFonts w:ascii="TimesLT" w:hAnsi="TimesLT"/>
          <w:b/>
          <w:bCs/>
          <w:sz w:val="22"/>
          <w:szCs w:val="22"/>
        </w:rPr>
        <w:t>(Pažymos apie lėšų poreikį kreditų gavėjų garantinio užmokesčio daliai kompensuoti forma)</w:t>
      </w:r>
    </w:p>
    <w:p w14:paraId="29A885CB" w14:textId="77777777" w:rsidR="001A1A75" w:rsidRDefault="001A1A75">
      <w:pPr>
        <w:spacing w:line="283" w:lineRule="auto"/>
        <w:jc w:val="center"/>
        <w:rPr>
          <w:rFonts w:ascii="TimesLT" w:hAnsi="TimesLT"/>
          <w:b/>
          <w:bCs/>
          <w:sz w:val="22"/>
          <w:szCs w:val="22"/>
        </w:rPr>
      </w:pPr>
    </w:p>
    <w:p w14:paraId="29A885CC" w14:textId="147B25B8" w:rsidR="001A1A75" w:rsidRDefault="008F0D82">
      <w:pPr>
        <w:spacing w:line="283" w:lineRule="auto"/>
        <w:ind w:firstLine="62"/>
        <w:jc w:val="center"/>
        <w:rPr>
          <w:rFonts w:ascii="TimesLT" w:hAnsi="TimesLT"/>
          <w:b/>
          <w:bCs/>
          <w:sz w:val="22"/>
          <w:szCs w:val="22"/>
        </w:rPr>
      </w:pPr>
      <w:r>
        <w:rPr>
          <w:rFonts w:ascii="TimesLT" w:hAnsi="TimesLT"/>
          <w:b/>
          <w:bCs/>
          <w:sz w:val="22"/>
          <w:szCs w:val="22"/>
        </w:rPr>
        <w:t>UAB ŽEMĖS ŪKIO PASKOLŲ GARANTIJŲ FONDAS</w:t>
      </w:r>
    </w:p>
    <w:p w14:paraId="29A885CD" w14:textId="77777777" w:rsidR="001A1A75" w:rsidRDefault="001A1A75">
      <w:pPr>
        <w:suppressAutoHyphens/>
        <w:spacing w:line="283" w:lineRule="auto"/>
        <w:ind w:firstLine="312"/>
        <w:jc w:val="both"/>
        <w:textAlignment w:val="center"/>
        <w:rPr>
          <w:color w:val="000000"/>
          <w:sz w:val="22"/>
          <w:szCs w:val="22"/>
          <w:lang w:eastAsia="lt-LT"/>
        </w:rPr>
      </w:pPr>
    </w:p>
    <w:p w14:paraId="29A885CE" w14:textId="77777777" w:rsidR="001A1A75" w:rsidRDefault="008F0D82">
      <w:pPr>
        <w:suppressAutoHyphens/>
        <w:spacing w:line="283" w:lineRule="auto"/>
        <w:jc w:val="both"/>
        <w:textAlignment w:val="center"/>
        <w:rPr>
          <w:color w:val="000000"/>
          <w:sz w:val="22"/>
          <w:szCs w:val="22"/>
          <w:lang w:eastAsia="lt-LT"/>
        </w:rPr>
      </w:pPr>
      <w:r>
        <w:rPr>
          <w:color w:val="000000"/>
          <w:sz w:val="22"/>
          <w:szCs w:val="22"/>
          <w:lang w:eastAsia="lt-LT"/>
        </w:rPr>
        <w:t xml:space="preserve">Lietuvos Respublikos žemės ūkio </w:t>
      </w:r>
      <w:r>
        <w:rPr>
          <w:color w:val="000000"/>
          <w:sz w:val="22"/>
          <w:szCs w:val="22"/>
          <w:lang w:eastAsia="lt-LT"/>
        </w:rPr>
        <w:t>ministerijos</w:t>
      </w:r>
    </w:p>
    <w:p w14:paraId="29A885CF" w14:textId="77777777" w:rsidR="001A1A75" w:rsidRDefault="008F0D82">
      <w:pPr>
        <w:suppressAutoHyphens/>
        <w:spacing w:line="283" w:lineRule="auto"/>
        <w:jc w:val="both"/>
        <w:textAlignment w:val="center"/>
        <w:rPr>
          <w:color w:val="000000"/>
          <w:sz w:val="22"/>
          <w:szCs w:val="22"/>
          <w:lang w:eastAsia="lt-LT"/>
        </w:rPr>
      </w:pPr>
      <w:r>
        <w:rPr>
          <w:color w:val="000000"/>
          <w:sz w:val="22"/>
          <w:szCs w:val="22"/>
          <w:lang w:eastAsia="lt-LT"/>
        </w:rPr>
        <w:t>Finansų ir biudžeto departamentui</w:t>
      </w:r>
    </w:p>
    <w:p w14:paraId="29A885D0" w14:textId="750FB8A5" w:rsidR="001A1A75" w:rsidRDefault="001A1A75">
      <w:pPr>
        <w:suppressAutoHyphens/>
        <w:spacing w:line="283" w:lineRule="auto"/>
        <w:ind w:firstLine="312"/>
        <w:jc w:val="both"/>
        <w:textAlignment w:val="center"/>
        <w:rPr>
          <w:color w:val="000000"/>
          <w:sz w:val="22"/>
          <w:szCs w:val="22"/>
          <w:lang w:eastAsia="lt-LT"/>
        </w:rPr>
      </w:pPr>
    </w:p>
    <w:p w14:paraId="29A885D1" w14:textId="207C9782" w:rsidR="001A1A75" w:rsidRDefault="008F0D82">
      <w:pPr>
        <w:spacing w:line="283" w:lineRule="auto"/>
        <w:jc w:val="center"/>
        <w:rPr>
          <w:rFonts w:ascii="TimesLT" w:hAnsi="TimesLT"/>
          <w:b/>
          <w:bCs/>
          <w:caps/>
          <w:sz w:val="22"/>
          <w:szCs w:val="22"/>
        </w:rPr>
      </w:pPr>
      <w:r>
        <w:rPr>
          <w:rFonts w:ascii="TimesLT" w:hAnsi="TimesLT"/>
          <w:b/>
          <w:bCs/>
          <w:caps/>
          <w:sz w:val="22"/>
          <w:szCs w:val="22"/>
        </w:rPr>
        <w:t>PAŽYMA</w:t>
      </w:r>
    </w:p>
    <w:p w14:paraId="29A885D2" w14:textId="354538E1" w:rsidR="001A1A75" w:rsidRDefault="008F0D82">
      <w:pPr>
        <w:spacing w:line="283" w:lineRule="auto"/>
        <w:jc w:val="center"/>
        <w:rPr>
          <w:rFonts w:ascii="TimesLT" w:hAnsi="TimesLT"/>
          <w:b/>
          <w:bCs/>
          <w:caps/>
          <w:sz w:val="22"/>
          <w:szCs w:val="22"/>
        </w:rPr>
      </w:pPr>
      <w:r>
        <w:rPr>
          <w:rFonts w:ascii="TimesLT" w:hAnsi="TimesLT"/>
          <w:b/>
          <w:bCs/>
          <w:caps/>
          <w:sz w:val="22"/>
          <w:szCs w:val="22"/>
        </w:rPr>
        <w:t>APIE LĖŠŲ POREIKĮ KREDITŲ GAVĖJŲ GARANTINIO UŽMOKESČIO DALIAI KOMPENSUOTI</w:t>
      </w:r>
    </w:p>
    <w:p w14:paraId="29A885D3" w14:textId="77777777" w:rsidR="001A1A75" w:rsidRDefault="001A1A75">
      <w:pPr>
        <w:suppressAutoHyphens/>
        <w:spacing w:line="283" w:lineRule="auto"/>
        <w:ind w:firstLine="312"/>
        <w:jc w:val="both"/>
        <w:textAlignment w:val="center"/>
        <w:rPr>
          <w:color w:val="000000"/>
          <w:sz w:val="22"/>
          <w:szCs w:val="22"/>
          <w:lang w:eastAsia="lt-LT"/>
        </w:rPr>
      </w:pPr>
    </w:p>
    <w:p w14:paraId="29A885D4" w14:textId="77777777" w:rsidR="001A1A75" w:rsidRDefault="008F0D82">
      <w:pPr>
        <w:spacing w:line="283" w:lineRule="auto"/>
        <w:jc w:val="center"/>
        <w:rPr>
          <w:rFonts w:ascii="TimesLT" w:hAnsi="TimesLT"/>
          <w:sz w:val="22"/>
          <w:szCs w:val="22"/>
        </w:rPr>
      </w:pPr>
      <w:r>
        <w:rPr>
          <w:rFonts w:ascii="TimesLT" w:hAnsi="TimesLT"/>
          <w:sz w:val="22"/>
          <w:szCs w:val="22"/>
        </w:rPr>
        <w:t>__________ Nr. _____</w:t>
      </w:r>
    </w:p>
    <w:p w14:paraId="29A885D5" w14:textId="77777777" w:rsidR="001A1A75" w:rsidRDefault="008F0D82">
      <w:pPr>
        <w:spacing w:line="283" w:lineRule="auto"/>
        <w:ind w:right="567"/>
        <w:jc w:val="center"/>
        <w:rPr>
          <w:rFonts w:ascii="TimesLT" w:hAnsi="TimesLT"/>
          <w:sz w:val="22"/>
          <w:szCs w:val="22"/>
        </w:rPr>
      </w:pPr>
      <w:r>
        <w:rPr>
          <w:rFonts w:ascii="TimesLT" w:hAnsi="TimesLT"/>
          <w:sz w:val="22"/>
          <w:szCs w:val="22"/>
          <w:vertAlign w:val="superscript"/>
        </w:rPr>
        <w:t>(data)</w:t>
      </w:r>
    </w:p>
    <w:p w14:paraId="29A885D6" w14:textId="77777777" w:rsidR="001A1A75" w:rsidRDefault="008F0D82">
      <w:pPr>
        <w:spacing w:line="283" w:lineRule="auto"/>
        <w:jc w:val="center"/>
        <w:rPr>
          <w:rFonts w:ascii="TimesLT" w:hAnsi="TimesLT"/>
          <w:sz w:val="22"/>
          <w:szCs w:val="22"/>
        </w:rPr>
      </w:pPr>
      <w:r>
        <w:rPr>
          <w:rFonts w:ascii="TimesLT" w:hAnsi="TimesLT"/>
          <w:sz w:val="22"/>
          <w:szCs w:val="22"/>
        </w:rPr>
        <w:t>____________________</w:t>
      </w:r>
    </w:p>
    <w:p w14:paraId="29A885D7" w14:textId="77777777" w:rsidR="001A1A75" w:rsidRDefault="008F0D82">
      <w:pPr>
        <w:spacing w:line="283" w:lineRule="auto"/>
        <w:jc w:val="center"/>
        <w:rPr>
          <w:rFonts w:ascii="TimesLT" w:hAnsi="TimesLT"/>
          <w:b/>
          <w:bCs/>
          <w:sz w:val="22"/>
          <w:szCs w:val="22"/>
        </w:rPr>
      </w:pPr>
      <w:r>
        <w:rPr>
          <w:rFonts w:ascii="TimesLT" w:hAnsi="TimesLT"/>
          <w:sz w:val="22"/>
          <w:szCs w:val="22"/>
          <w:vertAlign w:val="superscript"/>
        </w:rPr>
        <w:t>(dokumento sudarymo vieta)</w:t>
      </w:r>
    </w:p>
    <w:p w14:paraId="29A885D8" w14:textId="77777777" w:rsidR="001A1A75" w:rsidRDefault="001A1A75">
      <w:pPr>
        <w:suppressAutoHyphens/>
        <w:spacing w:line="283" w:lineRule="auto"/>
        <w:ind w:firstLine="312"/>
        <w:jc w:val="both"/>
        <w:textAlignment w:val="center"/>
        <w:rPr>
          <w:color w:val="000000"/>
          <w:sz w:val="22"/>
          <w:szCs w:val="22"/>
          <w:lang w:eastAsia="lt-LT"/>
        </w:rPr>
      </w:pPr>
    </w:p>
    <w:tbl>
      <w:tblPr>
        <w:tblW w:w="0" w:type="auto"/>
        <w:tblInd w:w="57" w:type="dxa"/>
        <w:tblLayout w:type="fixed"/>
        <w:tblCellMar>
          <w:left w:w="0" w:type="dxa"/>
          <w:right w:w="0" w:type="dxa"/>
        </w:tblCellMar>
        <w:tblLook w:val="0000" w:firstRow="0" w:lastRow="0" w:firstColumn="0" w:lastColumn="0" w:noHBand="0" w:noVBand="0"/>
      </w:tblPr>
      <w:tblGrid>
        <w:gridCol w:w="1985"/>
        <w:gridCol w:w="1134"/>
        <w:gridCol w:w="1276"/>
        <w:gridCol w:w="1276"/>
        <w:gridCol w:w="1417"/>
        <w:gridCol w:w="1418"/>
        <w:gridCol w:w="1275"/>
      </w:tblGrid>
      <w:tr w:rsidR="001A1A75" w14:paraId="29A885E7" w14:textId="77777777">
        <w:trPr>
          <w:trHeight w:val="62"/>
        </w:trPr>
        <w:tc>
          <w:tcPr>
            <w:tcW w:w="19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9A885D9" w14:textId="77777777" w:rsidR="001A1A75" w:rsidRDefault="008F0D82">
            <w:pPr>
              <w:suppressAutoHyphens/>
              <w:spacing w:line="288" w:lineRule="auto"/>
              <w:jc w:val="center"/>
              <w:textAlignment w:val="center"/>
              <w:rPr>
                <w:color w:val="000000"/>
                <w:sz w:val="22"/>
                <w:szCs w:val="22"/>
                <w:lang w:eastAsia="lt-LT"/>
              </w:rPr>
            </w:pPr>
            <w:r>
              <w:rPr>
                <w:color w:val="000000"/>
                <w:sz w:val="22"/>
                <w:szCs w:val="22"/>
                <w:lang w:eastAsia="lt-LT"/>
              </w:rPr>
              <w:t>Bendrovės</w:t>
            </w:r>
            <w:r>
              <w:rPr>
                <w:b/>
                <w:bCs/>
                <w:color w:val="000000"/>
                <w:sz w:val="22"/>
                <w:szCs w:val="22"/>
                <w:lang w:eastAsia="lt-LT"/>
              </w:rPr>
              <w:t xml:space="preserve"> </w:t>
            </w:r>
            <w:r>
              <w:rPr>
                <w:color w:val="000000"/>
                <w:sz w:val="22"/>
                <w:szCs w:val="22"/>
                <w:lang w:eastAsia="lt-LT"/>
              </w:rPr>
              <w:t xml:space="preserve">valdybos sprendimas dėl garantijos </w:t>
            </w:r>
            <w:r>
              <w:rPr>
                <w:color w:val="000000"/>
                <w:sz w:val="22"/>
                <w:szCs w:val="22"/>
                <w:lang w:eastAsia="lt-LT"/>
              </w:rPr>
              <w:t>suteikimo (data, protokolo Nr.)</w:t>
            </w:r>
          </w:p>
          <w:p w14:paraId="29A885DA" w14:textId="77777777" w:rsidR="001A1A75" w:rsidRDefault="001A1A75">
            <w:pPr>
              <w:suppressAutoHyphens/>
              <w:spacing w:line="288" w:lineRule="auto"/>
              <w:jc w:val="center"/>
              <w:textAlignment w:val="center"/>
              <w:rPr>
                <w:color w:val="000000"/>
                <w:sz w:val="22"/>
                <w:szCs w:val="22"/>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9A885DB" w14:textId="77777777" w:rsidR="001A1A75" w:rsidRDefault="008F0D82">
            <w:pPr>
              <w:suppressAutoHyphens/>
              <w:spacing w:line="288" w:lineRule="auto"/>
              <w:jc w:val="center"/>
              <w:textAlignment w:val="center"/>
              <w:rPr>
                <w:color w:val="000000"/>
                <w:sz w:val="22"/>
                <w:szCs w:val="22"/>
                <w:lang w:eastAsia="lt-LT"/>
              </w:rPr>
            </w:pPr>
            <w:r>
              <w:rPr>
                <w:color w:val="000000"/>
                <w:sz w:val="22"/>
                <w:szCs w:val="22"/>
                <w:lang w:eastAsia="lt-LT"/>
              </w:rPr>
              <w:t>Kredito suma, Eur</w:t>
            </w:r>
          </w:p>
          <w:p w14:paraId="29A885DC" w14:textId="77777777" w:rsidR="001A1A75" w:rsidRDefault="001A1A75">
            <w:pPr>
              <w:suppressAutoHyphens/>
              <w:spacing w:line="288" w:lineRule="auto"/>
              <w:jc w:val="center"/>
              <w:textAlignment w:val="center"/>
              <w:rPr>
                <w:color w:val="000000"/>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9A885DD" w14:textId="77777777" w:rsidR="001A1A75" w:rsidRDefault="008F0D82">
            <w:pPr>
              <w:suppressAutoHyphens/>
              <w:spacing w:line="288" w:lineRule="auto"/>
              <w:jc w:val="center"/>
              <w:textAlignment w:val="center"/>
              <w:rPr>
                <w:color w:val="000000"/>
                <w:sz w:val="22"/>
                <w:szCs w:val="22"/>
                <w:lang w:eastAsia="lt-LT"/>
              </w:rPr>
            </w:pPr>
            <w:r>
              <w:rPr>
                <w:color w:val="000000"/>
                <w:sz w:val="22"/>
                <w:szCs w:val="22"/>
                <w:lang w:eastAsia="lt-LT"/>
              </w:rPr>
              <w:t>Garantijos suma, Eur</w:t>
            </w:r>
          </w:p>
          <w:p w14:paraId="29A885DE" w14:textId="77777777" w:rsidR="001A1A75" w:rsidRDefault="001A1A75">
            <w:pPr>
              <w:suppressAutoHyphens/>
              <w:spacing w:line="288" w:lineRule="auto"/>
              <w:jc w:val="center"/>
              <w:textAlignment w:val="center"/>
              <w:rPr>
                <w:color w:val="000000"/>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9A885DF" w14:textId="77777777" w:rsidR="001A1A75" w:rsidRDefault="008F0D82">
            <w:pPr>
              <w:suppressAutoHyphens/>
              <w:spacing w:line="288" w:lineRule="auto"/>
              <w:jc w:val="center"/>
              <w:textAlignment w:val="center"/>
              <w:rPr>
                <w:color w:val="000000"/>
                <w:sz w:val="22"/>
                <w:szCs w:val="22"/>
                <w:lang w:eastAsia="lt-LT"/>
              </w:rPr>
            </w:pPr>
            <w:r>
              <w:rPr>
                <w:color w:val="000000"/>
                <w:sz w:val="22"/>
                <w:szCs w:val="22"/>
                <w:lang w:eastAsia="lt-LT"/>
              </w:rPr>
              <w:t>Garantinio užmokesčio proc.</w:t>
            </w:r>
          </w:p>
          <w:p w14:paraId="29A885E0" w14:textId="77777777" w:rsidR="001A1A75" w:rsidRDefault="001A1A75">
            <w:pPr>
              <w:suppressAutoHyphens/>
              <w:spacing w:line="288" w:lineRule="auto"/>
              <w:jc w:val="center"/>
              <w:textAlignment w:val="center"/>
              <w:rPr>
                <w:color w:val="000000"/>
                <w:sz w:val="22"/>
                <w:szCs w:val="22"/>
                <w:lang w:eastAsia="lt-LT"/>
              </w:rPr>
            </w:pP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9A885E1" w14:textId="77777777" w:rsidR="001A1A75" w:rsidRDefault="008F0D82">
            <w:pPr>
              <w:suppressAutoHyphens/>
              <w:spacing w:line="288" w:lineRule="auto"/>
              <w:jc w:val="center"/>
              <w:textAlignment w:val="center"/>
              <w:rPr>
                <w:color w:val="000000"/>
                <w:sz w:val="22"/>
                <w:szCs w:val="22"/>
                <w:lang w:eastAsia="lt-LT"/>
              </w:rPr>
            </w:pPr>
            <w:r>
              <w:rPr>
                <w:color w:val="000000"/>
                <w:sz w:val="22"/>
                <w:szCs w:val="22"/>
                <w:lang w:eastAsia="lt-LT"/>
              </w:rPr>
              <w:t>Garantinio užmokesčio suma, Eur</w:t>
            </w:r>
          </w:p>
          <w:p w14:paraId="29A885E2" w14:textId="77777777" w:rsidR="001A1A75" w:rsidRDefault="001A1A75">
            <w:pPr>
              <w:suppressAutoHyphens/>
              <w:spacing w:line="288" w:lineRule="auto"/>
              <w:jc w:val="center"/>
              <w:textAlignment w:val="center"/>
              <w:rPr>
                <w:color w:val="000000"/>
                <w:sz w:val="22"/>
                <w:szCs w:val="22"/>
                <w:lang w:eastAsia="lt-LT"/>
              </w:rPr>
            </w:pP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9A885E3" w14:textId="77777777" w:rsidR="001A1A75" w:rsidRDefault="008F0D82">
            <w:pPr>
              <w:suppressAutoHyphens/>
              <w:spacing w:line="288" w:lineRule="auto"/>
              <w:jc w:val="center"/>
              <w:textAlignment w:val="center"/>
              <w:rPr>
                <w:color w:val="000000"/>
                <w:sz w:val="22"/>
                <w:szCs w:val="22"/>
                <w:lang w:eastAsia="lt-LT"/>
              </w:rPr>
            </w:pPr>
            <w:r>
              <w:rPr>
                <w:color w:val="000000"/>
                <w:sz w:val="22"/>
                <w:szCs w:val="22"/>
                <w:lang w:eastAsia="lt-LT"/>
              </w:rPr>
              <w:t>Kompensuotina garantinio užmokesčio dalis, Eur</w:t>
            </w:r>
          </w:p>
          <w:p w14:paraId="29A885E4" w14:textId="77777777" w:rsidR="001A1A75" w:rsidRDefault="001A1A75">
            <w:pPr>
              <w:suppressAutoHyphens/>
              <w:spacing w:line="288" w:lineRule="auto"/>
              <w:jc w:val="center"/>
              <w:textAlignment w:val="center"/>
              <w:rPr>
                <w:color w:val="000000"/>
                <w:sz w:val="22"/>
                <w:szCs w:val="22"/>
                <w:lang w:eastAsia="lt-LT"/>
              </w:rPr>
            </w:pP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9A885E5" w14:textId="77777777" w:rsidR="001A1A75" w:rsidRDefault="008F0D82">
            <w:pPr>
              <w:suppressAutoHyphens/>
              <w:spacing w:line="288" w:lineRule="auto"/>
              <w:jc w:val="center"/>
              <w:textAlignment w:val="center"/>
              <w:rPr>
                <w:color w:val="000000"/>
                <w:sz w:val="22"/>
                <w:szCs w:val="22"/>
                <w:lang w:eastAsia="lt-LT"/>
              </w:rPr>
            </w:pPr>
            <w:r>
              <w:rPr>
                <w:color w:val="000000"/>
                <w:sz w:val="22"/>
                <w:szCs w:val="22"/>
                <w:lang w:eastAsia="lt-LT"/>
              </w:rPr>
              <w:t>Pastabos</w:t>
            </w:r>
          </w:p>
          <w:p w14:paraId="29A885E6" w14:textId="77777777" w:rsidR="001A1A75" w:rsidRDefault="001A1A75">
            <w:pPr>
              <w:suppressAutoHyphens/>
              <w:spacing w:line="288" w:lineRule="auto"/>
              <w:jc w:val="center"/>
              <w:textAlignment w:val="center"/>
              <w:rPr>
                <w:color w:val="000000"/>
                <w:sz w:val="22"/>
                <w:szCs w:val="22"/>
                <w:lang w:eastAsia="lt-LT"/>
              </w:rPr>
            </w:pPr>
          </w:p>
        </w:tc>
      </w:tr>
      <w:tr w:rsidR="001A1A75" w14:paraId="29A885F6" w14:textId="77777777">
        <w:trPr>
          <w:trHeight w:val="62"/>
        </w:trPr>
        <w:tc>
          <w:tcPr>
            <w:tcW w:w="19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9A885E8" w14:textId="77777777" w:rsidR="001A1A75" w:rsidRDefault="008F0D82">
            <w:pPr>
              <w:suppressAutoHyphens/>
              <w:spacing w:line="288" w:lineRule="auto"/>
              <w:jc w:val="center"/>
              <w:textAlignment w:val="center"/>
              <w:rPr>
                <w:color w:val="000000"/>
                <w:sz w:val="22"/>
                <w:szCs w:val="22"/>
                <w:lang w:eastAsia="lt-LT"/>
              </w:rPr>
            </w:pPr>
            <w:r>
              <w:rPr>
                <w:color w:val="000000"/>
                <w:sz w:val="22"/>
                <w:szCs w:val="22"/>
                <w:lang w:eastAsia="lt-LT"/>
              </w:rPr>
              <w:t>1</w:t>
            </w:r>
          </w:p>
          <w:p w14:paraId="29A885E9" w14:textId="77777777" w:rsidR="001A1A75" w:rsidRDefault="001A1A75">
            <w:pPr>
              <w:suppressAutoHyphens/>
              <w:spacing w:line="288" w:lineRule="auto"/>
              <w:jc w:val="center"/>
              <w:textAlignment w:val="center"/>
              <w:rPr>
                <w:color w:val="000000"/>
                <w:sz w:val="22"/>
                <w:szCs w:val="22"/>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9A885EA" w14:textId="77777777" w:rsidR="001A1A75" w:rsidRDefault="008F0D82">
            <w:pPr>
              <w:suppressAutoHyphens/>
              <w:spacing w:line="288" w:lineRule="auto"/>
              <w:jc w:val="center"/>
              <w:textAlignment w:val="center"/>
              <w:rPr>
                <w:color w:val="000000"/>
                <w:sz w:val="22"/>
                <w:szCs w:val="22"/>
                <w:lang w:eastAsia="lt-LT"/>
              </w:rPr>
            </w:pPr>
            <w:r>
              <w:rPr>
                <w:color w:val="000000"/>
                <w:sz w:val="22"/>
                <w:szCs w:val="22"/>
                <w:lang w:eastAsia="lt-LT"/>
              </w:rPr>
              <w:t>2</w:t>
            </w:r>
          </w:p>
          <w:p w14:paraId="29A885EB" w14:textId="77777777" w:rsidR="001A1A75" w:rsidRDefault="001A1A75">
            <w:pPr>
              <w:suppressAutoHyphens/>
              <w:spacing w:line="288" w:lineRule="auto"/>
              <w:jc w:val="center"/>
              <w:textAlignment w:val="center"/>
              <w:rPr>
                <w:color w:val="000000"/>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9A885EC" w14:textId="77777777" w:rsidR="001A1A75" w:rsidRDefault="008F0D82">
            <w:pPr>
              <w:suppressAutoHyphens/>
              <w:spacing w:line="288" w:lineRule="auto"/>
              <w:jc w:val="center"/>
              <w:textAlignment w:val="center"/>
              <w:rPr>
                <w:color w:val="000000"/>
                <w:sz w:val="22"/>
                <w:szCs w:val="22"/>
                <w:lang w:eastAsia="lt-LT"/>
              </w:rPr>
            </w:pPr>
            <w:r>
              <w:rPr>
                <w:color w:val="000000"/>
                <w:sz w:val="22"/>
                <w:szCs w:val="22"/>
                <w:lang w:eastAsia="lt-LT"/>
              </w:rPr>
              <w:t>3</w:t>
            </w:r>
          </w:p>
          <w:p w14:paraId="29A885ED" w14:textId="77777777" w:rsidR="001A1A75" w:rsidRDefault="001A1A75">
            <w:pPr>
              <w:suppressAutoHyphens/>
              <w:spacing w:line="288" w:lineRule="auto"/>
              <w:jc w:val="center"/>
              <w:textAlignment w:val="center"/>
              <w:rPr>
                <w:color w:val="000000"/>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9A885EE" w14:textId="77777777" w:rsidR="001A1A75" w:rsidRDefault="008F0D82">
            <w:pPr>
              <w:suppressAutoHyphens/>
              <w:spacing w:line="288" w:lineRule="auto"/>
              <w:jc w:val="center"/>
              <w:textAlignment w:val="center"/>
              <w:rPr>
                <w:color w:val="000000"/>
                <w:sz w:val="22"/>
                <w:szCs w:val="22"/>
                <w:lang w:eastAsia="lt-LT"/>
              </w:rPr>
            </w:pPr>
            <w:r>
              <w:rPr>
                <w:color w:val="000000"/>
                <w:sz w:val="22"/>
                <w:szCs w:val="22"/>
                <w:lang w:eastAsia="lt-LT"/>
              </w:rPr>
              <w:t>4</w:t>
            </w:r>
          </w:p>
          <w:p w14:paraId="29A885EF" w14:textId="77777777" w:rsidR="001A1A75" w:rsidRDefault="001A1A75">
            <w:pPr>
              <w:suppressAutoHyphens/>
              <w:spacing w:line="288" w:lineRule="auto"/>
              <w:jc w:val="center"/>
              <w:textAlignment w:val="center"/>
              <w:rPr>
                <w:color w:val="000000"/>
                <w:sz w:val="22"/>
                <w:szCs w:val="22"/>
                <w:lang w:eastAsia="lt-LT"/>
              </w:rPr>
            </w:pP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9A885F0" w14:textId="77777777" w:rsidR="001A1A75" w:rsidRDefault="008F0D82">
            <w:pPr>
              <w:suppressAutoHyphens/>
              <w:spacing w:line="288" w:lineRule="auto"/>
              <w:jc w:val="center"/>
              <w:textAlignment w:val="center"/>
              <w:rPr>
                <w:color w:val="000000"/>
                <w:sz w:val="22"/>
                <w:szCs w:val="22"/>
                <w:lang w:eastAsia="lt-LT"/>
              </w:rPr>
            </w:pPr>
            <w:r>
              <w:rPr>
                <w:color w:val="000000"/>
                <w:sz w:val="22"/>
                <w:szCs w:val="22"/>
                <w:lang w:eastAsia="lt-LT"/>
              </w:rPr>
              <w:t>5</w:t>
            </w:r>
          </w:p>
          <w:p w14:paraId="29A885F1" w14:textId="77777777" w:rsidR="001A1A75" w:rsidRDefault="001A1A75">
            <w:pPr>
              <w:suppressAutoHyphens/>
              <w:spacing w:line="288" w:lineRule="auto"/>
              <w:jc w:val="center"/>
              <w:textAlignment w:val="center"/>
              <w:rPr>
                <w:color w:val="000000"/>
                <w:sz w:val="22"/>
                <w:szCs w:val="22"/>
                <w:lang w:eastAsia="lt-LT"/>
              </w:rPr>
            </w:pP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9A885F2" w14:textId="77777777" w:rsidR="001A1A75" w:rsidRDefault="008F0D82">
            <w:pPr>
              <w:suppressAutoHyphens/>
              <w:spacing w:line="288" w:lineRule="auto"/>
              <w:jc w:val="center"/>
              <w:textAlignment w:val="center"/>
              <w:rPr>
                <w:color w:val="000000"/>
                <w:sz w:val="22"/>
                <w:szCs w:val="22"/>
                <w:lang w:eastAsia="lt-LT"/>
              </w:rPr>
            </w:pPr>
            <w:r>
              <w:rPr>
                <w:color w:val="000000"/>
                <w:sz w:val="22"/>
                <w:szCs w:val="22"/>
                <w:lang w:eastAsia="lt-LT"/>
              </w:rPr>
              <w:t>6</w:t>
            </w:r>
          </w:p>
          <w:p w14:paraId="29A885F3" w14:textId="77777777" w:rsidR="001A1A75" w:rsidRDefault="001A1A75">
            <w:pPr>
              <w:suppressAutoHyphens/>
              <w:spacing w:line="288" w:lineRule="auto"/>
              <w:jc w:val="center"/>
              <w:textAlignment w:val="center"/>
              <w:rPr>
                <w:color w:val="000000"/>
                <w:sz w:val="22"/>
                <w:szCs w:val="22"/>
                <w:lang w:eastAsia="lt-LT"/>
              </w:rPr>
            </w:pP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9A885F4" w14:textId="77777777" w:rsidR="001A1A75" w:rsidRDefault="008F0D82">
            <w:pPr>
              <w:suppressAutoHyphens/>
              <w:spacing w:line="288" w:lineRule="auto"/>
              <w:jc w:val="center"/>
              <w:textAlignment w:val="center"/>
              <w:rPr>
                <w:color w:val="000000"/>
                <w:sz w:val="22"/>
                <w:szCs w:val="22"/>
                <w:lang w:eastAsia="lt-LT"/>
              </w:rPr>
            </w:pPr>
            <w:r>
              <w:rPr>
                <w:color w:val="000000"/>
                <w:sz w:val="22"/>
                <w:szCs w:val="22"/>
                <w:lang w:eastAsia="lt-LT"/>
              </w:rPr>
              <w:t>7</w:t>
            </w:r>
          </w:p>
          <w:p w14:paraId="29A885F5" w14:textId="77777777" w:rsidR="001A1A75" w:rsidRDefault="001A1A75">
            <w:pPr>
              <w:suppressAutoHyphens/>
              <w:spacing w:line="288" w:lineRule="auto"/>
              <w:jc w:val="center"/>
              <w:textAlignment w:val="center"/>
              <w:rPr>
                <w:color w:val="000000"/>
                <w:sz w:val="22"/>
                <w:szCs w:val="22"/>
                <w:lang w:eastAsia="lt-LT"/>
              </w:rPr>
            </w:pPr>
          </w:p>
        </w:tc>
      </w:tr>
      <w:tr w:rsidR="001A1A75" w14:paraId="29A885FE" w14:textId="77777777">
        <w:trPr>
          <w:trHeight w:val="62"/>
        </w:trPr>
        <w:tc>
          <w:tcPr>
            <w:tcW w:w="19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9A885F7" w14:textId="77777777" w:rsidR="001A1A75" w:rsidRDefault="001A1A75">
            <w:pPr>
              <w:rPr>
                <w:sz w:val="22"/>
                <w:szCs w:val="22"/>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9A885F8" w14:textId="77777777" w:rsidR="001A1A75" w:rsidRDefault="001A1A75">
            <w:pPr>
              <w:rPr>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9A885F9" w14:textId="77777777" w:rsidR="001A1A75" w:rsidRDefault="001A1A75">
            <w:pPr>
              <w:rPr>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9A885FA" w14:textId="77777777" w:rsidR="001A1A75" w:rsidRDefault="001A1A75">
            <w:pPr>
              <w:rPr>
                <w:sz w:val="22"/>
                <w:szCs w:val="22"/>
                <w:lang w:eastAsia="lt-LT"/>
              </w:rPr>
            </w:pP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9A885FB" w14:textId="77777777" w:rsidR="001A1A75" w:rsidRDefault="001A1A75">
            <w:pPr>
              <w:rPr>
                <w:sz w:val="22"/>
                <w:szCs w:val="22"/>
                <w:lang w:eastAsia="lt-LT"/>
              </w:rPr>
            </w:pP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9A885FC" w14:textId="77777777" w:rsidR="001A1A75" w:rsidRDefault="001A1A75">
            <w:pPr>
              <w:rPr>
                <w:sz w:val="22"/>
                <w:szCs w:val="22"/>
                <w:lang w:eastAsia="lt-LT"/>
              </w:rPr>
            </w:pP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9A885FD" w14:textId="77777777" w:rsidR="001A1A75" w:rsidRDefault="001A1A75">
            <w:pPr>
              <w:rPr>
                <w:sz w:val="22"/>
                <w:szCs w:val="22"/>
                <w:lang w:eastAsia="lt-LT"/>
              </w:rPr>
            </w:pPr>
          </w:p>
        </w:tc>
      </w:tr>
      <w:tr w:rsidR="001A1A75" w14:paraId="29A88606" w14:textId="77777777">
        <w:trPr>
          <w:trHeight w:val="62"/>
        </w:trPr>
        <w:tc>
          <w:tcPr>
            <w:tcW w:w="19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9A885FF" w14:textId="77777777" w:rsidR="001A1A75" w:rsidRDefault="001A1A75">
            <w:pPr>
              <w:rPr>
                <w:sz w:val="22"/>
                <w:szCs w:val="22"/>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9A88600" w14:textId="77777777" w:rsidR="001A1A75" w:rsidRDefault="001A1A75">
            <w:pPr>
              <w:rPr>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9A88601" w14:textId="77777777" w:rsidR="001A1A75" w:rsidRDefault="001A1A75">
            <w:pPr>
              <w:rPr>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9A88602" w14:textId="77777777" w:rsidR="001A1A75" w:rsidRDefault="001A1A75">
            <w:pPr>
              <w:rPr>
                <w:sz w:val="22"/>
                <w:szCs w:val="22"/>
                <w:lang w:eastAsia="lt-LT"/>
              </w:rPr>
            </w:pP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9A88603" w14:textId="77777777" w:rsidR="001A1A75" w:rsidRDefault="001A1A75">
            <w:pPr>
              <w:rPr>
                <w:sz w:val="22"/>
                <w:szCs w:val="22"/>
                <w:lang w:eastAsia="lt-LT"/>
              </w:rPr>
            </w:pP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9A88604" w14:textId="77777777" w:rsidR="001A1A75" w:rsidRDefault="001A1A75">
            <w:pPr>
              <w:rPr>
                <w:sz w:val="22"/>
                <w:szCs w:val="22"/>
                <w:lang w:eastAsia="lt-LT"/>
              </w:rPr>
            </w:pP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9A88605" w14:textId="77777777" w:rsidR="001A1A75" w:rsidRDefault="001A1A75">
            <w:pPr>
              <w:rPr>
                <w:sz w:val="22"/>
                <w:szCs w:val="22"/>
                <w:lang w:eastAsia="lt-LT"/>
              </w:rPr>
            </w:pPr>
          </w:p>
        </w:tc>
      </w:tr>
      <w:tr w:rsidR="001A1A75" w14:paraId="29A8860E" w14:textId="77777777">
        <w:trPr>
          <w:trHeight w:val="62"/>
        </w:trPr>
        <w:tc>
          <w:tcPr>
            <w:tcW w:w="19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9A88607" w14:textId="77777777" w:rsidR="001A1A75" w:rsidRDefault="001A1A75">
            <w:pPr>
              <w:rPr>
                <w:sz w:val="22"/>
                <w:szCs w:val="22"/>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9A88608" w14:textId="77777777" w:rsidR="001A1A75" w:rsidRDefault="001A1A75">
            <w:pPr>
              <w:rPr>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9A88609" w14:textId="77777777" w:rsidR="001A1A75" w:rsidRDefault="001A1A75">
            <w:pPr>
              <w:rPr>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9A8860A" w14:textId="77777777" w:rsidR="001A1A75" w:rsidRDefault="001A1A75">
            <w:pPr>
              <w:rPr>
                <w:sz w:val="22"/>
                <w:szCs w:val="22"/>
                <w:lang w:eastAsia="lt-LT"/>
              </w:rPr>
            </w:pP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9A8860B" w14:textId="77777777" w:rsidR="001A1A75" w:rsidRDefault="001A1A75">
            <w:pPr>
              <w:rPr>
                <w:sz w:val="22"/>
                <w:szCs w:val="22"/>
                <w:lang w:eastAsia="lt-LT"/>
              </w:rPr>
            </w:pP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9A8860C" w14:textId="77777777" w:rsidR="001A1A75" w:rsidRDefault="001A1A75">
            <w:pPr>
              <w:rPr>
                <w:sz w:val="22"/>
                <w:szCs w:val="22"/>
                <w:lang w:eastAsia="lt-LT"/>
              </w:rPr>
            </w:pP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9A8860D" w14:textId="77777777" w:rsidR="001A1A75" w:rsidRDefault="001A1A75">
            <w:pPr>
              <w:rPr>
                <w:sz w:val="22"/>
                <w:szCs w:val="22"/>
                <w:lang w:eastAsia="lt-LT"/>
              </w:rPr>
            </w:pPr>
          </w:p>
        </w:tc>
      </w:tr>
      <w:tr w:rsidR="001A1A75" w14:paraId="29A88617" w14:textId="77777777">
        <w:trPr>
          <w:trHeight w:val="62"/>
        </w:trPr>
        <w:tc>
          <w:tcPr>
            <w:tcW w:w="19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9A8860F" w14:textId="77777777" w:rsidR="001A1A75" w:rsidRDefault="008F0D82">
            <w:pPr>
              <w:suppressAutoHyphens/>
              <w:spacing w:line="288" w:lineRule="auto"/>
              <w:jc w:val="center"/>
              <w:textAlignment w:val="center"/>
              <w:rPr>
                <w:color w:val="000000"/>
                <w:sz w:val="22"/>
                <w:szCs w:val="22"/>
                <w:lang w:eastAsia="lt-LT"/>
              </w:rPr>
            </w:pPr>
            <w:r>
              <w:rPr>
                <w:color w:val="000000"/>
                <w:sz w:val="22"/>
                <w:szCs w:val="22"/>
                <w:lang w:eastAsia="lt-LT"/>
              </w:rPr>
              <w:t>Iš viso</w:t>
            </w:r>
          </w:p>
          <w:p w14:paraId="29A88610" w14:textId="77777777" w:rsidR="001A1A75" w:rsidRDefault="001A1A75">
            <w:pPr>
              <w:suppressAutoHyphens/>
              <w:spacing w:line="288" w:lineRule="auto"/>
              <w:jc w:val="center"/>
              <w:textAlignment w:val="center"/>
              <w:rPr>
                <w:color w:val="000000"/>
                <w:sz w:val="22"/>
                <w:szCs w:val="22"/>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9A88611" w14:textId="77777777" w:rsidR="001A1A75" w:rsidRDefault="001A1A75">
            <w:pPr>
              <w:rPr>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9A88612" w14:textId="77777777" w:rsidR="001A1A75" w:rsidRDefault="001A1A75">
            <w:pPr>
              <w:rPr>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9A88613" w14:textId="77777777" w:rsidR="001A1A75" w:rsidRDefault="001A1A75">
            <w:pPr>
              <w:rPr>
                <w:sz w:val="22"/>
                <w:szCs w:val="22"/>
                <w:lang w:eastAsia="lt-LT"/>
              </w:rPr>
            </w:pP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9A88614" w14:textId="77777777" w:rsidR="001A1A75" w:rsidRDefault="001A1A75">
            <w:pPr>
              <w:rPr>
                <w:sz w:val="22"/>
                <w:szCs w:val="22"/>
                <w:lang w:eastAsia="lt-LT"/>
              </w:rPr>
            </w:pP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9A88615" w14:textId="77777777" w:rsidR="001A1A75" w:rsidRDefault="001A1A75">
            <w:pPr>
              <w:rPr>
                <w:sz w:val="22"/>
                <w:szCs w:val="22"/>
                <w:lang w:eastAsia="lt-LT"/>
              </w:rPr>
            </w:pP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9A88616" w14:textId="77777777" w:rsidR="001A1A75" w:rsidRDefault="001A1A75">
            <w:pPr>
              <w:rPr>
                <w:sz w:val="22"/>
                <w:szCs w:val="22"/>
                <w:lang w:eastAsia="lt-LT"/>
              </w:rPr>
            </w:pPr>
          </w:p>
        </w:tc>
      </w:tr>
    </w:tbl>
    <w:p w14:paraId="29A88618" w14:textId="77777777" w:rsidR="001A1A75" w:rsidRDefault="001A1A75">
      <w:pPr>
        <w:suppressAutoHyphens/>
        <w:spacing w:line="283" w:lineRule="auto"/>
        <w:ind w:firstLine="312"/>
        <w:jc w:val="both"/>
        <w:textAlignment w:val="center"/>
        <w:rPr>
          <w:color w:val="000000"/>
          <w:sz w:val="22"/>
          <w:szCs w:val="22"/>
          <w:lang w:eastAsia="lt-LT"/>
        </w:rPr>
      </w:pPr>
    </w:p>
    <w:p w14:paraId="29A88619" w14:textId="77777777" w:rsidR="001A1A75" w:rsidRDefault="001A1A75">
      <w:pPr>
        <w:suppressAutoHyphens/>
        <w:spacing w:line="283" w:lineRule="auto"/>
        <w:ind w:firstLine="312"/>
        <w:jc w:val="both"/>
        <w:textAlignment w:val="center"/>
        <w:rPr>
          <w:color w:val="000000"/>
          <w:sz w:val="22"/>
          <w:szCs w:val="22"/>
          <w:lang w:eastAsia="lt-LT"/>
        </w:rPr>
      </w:pPr>
    </w:p>
    <w:tbl>
      <w:tblPr>
        <w:tblW w:w="0" w:type="auto"/>
        <w:tblInd w:w="57" w:type="dxa"/>
        <w:tblLayout w:type="fixed"/>
        <w:tblCellMar>
          <w:left w:w="0" w:type="dxa"/>
          <w:right w:w="0" w:type="dxa"/>
        </w:tblCellMar>
        <w:tblLook w:val="0000" w:firstRow="0" w:lastRow="0" w:firstColumn="0" w:lastColumn="0" w:noHBand="0" w:noVBand="0"/>
      </w:tblPr>
      <w:tblGrid>
        <w:gridCol w:w="2376"/>
        <w:gridCol w:w="1692"/>
        <w:gridCol w:w="1620"/>
        <w:gridCol w:w="1800"/>
        <w:gridCol w:w="1890"/>
      </w:tblGrid>
      <w:tr w:rsidR="001A1A75" w14:paraId="29A8861F" w14:textId="77777777">
        <w:trPr>
          <w:trHeight w:val="60"/>
        </w:trPr>
        <w:tc>
          <w:tcPr>
            <w:tcW w:w="2376" w:type="dxa"/>
            <w:tcBorders>
              <w:top w:val="nil"/>
              <w:left w:val="nil"/>
              <w:bottom w:val="nil"/>
              <w:right w:val="nil"/>
            </w:tcBorders>
            <w:tcMar>
              <w:top w:w="57" w:type="dxa"/>
              <w:left w:w="57" w:type="dxa"/>
              <w:bottom w:w="57" w:type="dxa"/>
              <w:right w:w="57" w:type="dxa"/>
            </w:tcMar>
          </w:tcPr>
          <w:p w14:paraId="29A8861A" w14:textId="77777777" w:rsidR="001A1A75" w:rsidRDefault="001A1A75">
            <w:pPr>
              <w:rPr>
                <w:sz w:val="22"/>
                <w:szCs w:val="22"/>
                <w:lang w:eastAsia="lt-LT"/>
              </w:rPr>
            </w:pPr>
          </w:p>
        </w:tc>
        <w:tc>
          <w:tcPr>
            <w:tcW w:w="1692" w:type="dxa"/>
            <w:tcBorders>
              <w:top w:val="nil"/>
              <w:left w:val="nil"/>
              <w:bottom w:val="nil"/>
              <w:right w:val="nil"/>
            </w:tcBorders>
            <w:tcMar>
              <w:top w:w="57" w:type="dxa"/>
              <w:left w:w="57" w:type="dxa"/>
              <w:bottom w:w="57" w:type="dxa"/>
              <w:right w:w="57" w:type="dxa"/>
            </w:tcMar>
          </w:tcPr>
          <w:p w14:paraId="29A8861B" w14:textId="77777777" w:rsidR="001A1A75" w:rsidRDefault="001A1A75">
            <w:pPr>
              <w:rPr>
                <w:sz w:val="22"/>
                <w:szCs w:val="22"/>
                <w:lang w:eastAsia="lt-LT"/>
              </w:rPr>
            </w:pPr>
          </w:p>
        </w:tc>
        <w:tc>
          <w:tcPr>
            <w:tcW w:w="1620" w:type="dxa"/>
            <w:tcBorders>
              <w:top w:val="nil"/>
              <w:left w:val="nil"/>
              <w:bottom w:val="single" w:sz="4" w:space="0" w:color="000000"/>
              <w:right w:val="nil"/>
            </w:tcBorders>
            <w:tcMar>
              <w:top w:w="57" w:type="dxa"/>
              <w:left w:w="57" w:type="dxa"/>
              <w:bottom w:w="57" w:type="dxa"/>
              <w:right w:w="57" w:type="dxa"/>
            </w:tcMar>
          </w:tcPr>
          <w:p w14:paraId="29A8861C" w14:textId="77777777" w:rsidR="001A1A75" w:rsidRDefault="001A1A75">
            <w:pPr>
              <w:rPr>
                <w:sz w:val="22"/>
                <w:szCs w:val="22"/>
                <w:lang w:eastAsia="lt-LT"/>
              </w:rPr>
            </w:pPr>
          </w:p>
        </w:tc>
        <w:tc>
          <w:tcPr>
            <w:tcW w:w="1800" w:type="dxa"/>
            <w:tcBorders>
              <w:top w:val="nil"/>
              <w:left w:val="nil"/>
              <w:bottom w:val="nil"/>
              <w:right w:val="nil"/>
            </w:tcBorders>
            <w:tcMar>
              <w:top w:w="57" w:type="dxa"/>
              <w:left w:w="57" w:type="dxa"/>
              <w:bottom w:w="57" w:type="dxa"/>
              <w:right w:w="57" w:type="dxa"/>
            </w:tcMar>
          </w:tcPr>
          <w:p w14:paraId="29A8861D" w14:textId="77777777" w:rsidR="001A1A75" w:rsidRDefault="001A1A75">
            <w:pPr>
              <w:rPr>
                <w:sz w:val="22"/>
                <w:szCs w:val="22"/>
                <w:lang w:eastAsia="lt-LT"/>
              </w:rPr>
            </w:pPr>
          </w:p>
        </w:tc>
        <w:tc>
          <w:tcPr>
            <w:tcW w:w="1890" w:type="dxa"/>
            <w:tcBorders>
              <w:top w:val="nil"/>
              <w:left w:val="nil"/>
              <w:bottom w:val="single" w:sz="4" w:space="0" w:color="000000"/>
              <w:right w:val="nil"/>
            </w:tcBorders>
            <w:tcMar>
              <w:top w:w="57" w:type="dxa"/>
              <w:left w:w="57" w:type="dxa"/>
              <w:bottom w:w="57" w:type="dxa"/>
              <w:right w:w="57" w:type="dxa"/>
            </w:tcMar>
          </w:tcPr>
          <w:p w14:paraId="29A8861E" w14:textId="77777777" w:rsidR="001A1A75" w:rsidRDefault="001A1A75">
            <w:pPr>
              <w:rPr>
                <w:sz w:val="22"/>
                <w:szCs w:val="22"/>
                <w:lang w:eastAsia="lt-LT"/>
              </w:rPr>
            </w:pPr>
          </w:p>
        </w:tc>
      </w:tr>
      <w:tr w:rsidR="001A1A75" w14:paraId="29A88628" w14:textId="77777777">
        <w:trPr>
          <w:trHeight w:val="60"/>
        </w:trPr>
        <w:tc>
          <w:tcPr>
            <w:tcW w:w="2376" w:type="dxa"/>
            <w:tcBorders>
              <w:top w:val="nil"/>
              <w:left w:val="nil"/>
              <w:bottom w:val="nil"/>
              <w:right w:val="nil"/>
            </w:tcBorders>
            <w:tcMar>
              <w:top w:w="57" w:type="dxa"/>
              <w:left w:w="57" w:type="dxa"/>
              <w:bottom w:w="57" w:type="dxa"/>
              <w:right w:w="57" w:type="dxa"/>
            </w:tcMar>
          </w:tcPr>
          <w:p w14:paraId="29A88620" w14:textId="77777777" w:rsidR="001A1A75" w:rsidRDefault="008F0D82">
            <w:pPr>
              <w:suppressAutoHyphens/>
              <w:spacing w:line="288" w:lineRule="auto"/>
              <w:textAlignment w:val="center"/>
              <w:rPr>
                <w:color w:val="000000"/>
                <w:sz w:val="22"/>
                <w:szCs w:val="22"/>
                <w:lang w:eastAsia="lt-LT"/>
              </w:rPr>
            </w:pPr>
            <w:r>
              <w:rPr>
                <w:color w:val="000000"/>
                <w:sz w:val="22"/>
                <w:szCs w:val="22"/>
                <w:lang w:eastAsia="lt-LT"/>
              </w:rPr>
              <w:t>Direktorius</w:t>
            </w:r>
          </w:p>
          <w:p w14:paraId="29A88621" w14:textId="77777777" w:rsidR="001A1A75" w:rsidRDefault="001A1A75">
            <w:pPr>
              <w:suppressAutoHyphens/>
              <w:spacing w:line="288" w:lineRule="auto"/>
              <w:textAlignment w:val="center"/>
              <w:rPr>
                <w:color w:val="000000"/>
                <w:sz w:val="22"/>
                <w:szCs w:val="22"/>
                <w:lang w:eastAsia="lt-LT"/>
              </w:rPr>
            </w:pPr>
          </w:p>
        </w:tc>
        <w:tc>
          <w:tcPr>
            <w:tcW w:w="1692" w:type="dxa"/>
            <w:tcBorders>
              <w:top w:val="nil"/>
              <w:left w:val="nil"/>
              <w:bottom w:val="nil"/>
              <w:right w:val="nil"/>
            </w:tcBorders>
            <w:tcMar>
              <w:top w:w="57" w:type="dxa"/>
              <w:left w:w="57" w:type="dxa"/>
              <w:bottom w:w="57" w:type="dxa"/>
              <w:right w:w="57" w:type="dxa"/>
            </w:tcMar>
          </w:tcPr>
          <w:p w14:paraId="29A88622" w14:textId="77777777" w:rsidR="001A1A75" w:rsidRDefault="001A1A75">
            <w:pPr>
              <w:rPr>
                <w:sz w:val="22"/>
                <w:szCs w:val="22"/>
                <w:lang w:eastAsia="lt-LT"/>
              </w:rPr>
            </w:pPr>
          </w:p>
        </w:tc>
        <w:tc>
          <w:tcPr>
            <w:tcW w:w="1620" w:type="dxa"/>
            <w:tcBorders>
              <w:top w:val="single" w:sz="4" w:space="0" w:color="000000"/>
              <w:left w:val="nil"/>
              <w:bottom w:val="nil"/>
              <w:right w:val="nil"/>
            </w:tcBorders>
            <w:tcMar>
              <w:top w:w="57" w:type="dxa"/>
              <w:left w:w="57" w:type="dxa"/>
              <w:bottom w:w="57" w:type="dxa"/>
              <w:right w:w="57" w:type="dxa"/>
            </w:tcMar>
          </w:tcPr>
          <w:p w14:paraId="29A88623" w14:textId="77777777" w:rsidR="001A1A75" w:rsidRDefault="008F0D82">
            <w:pPr>
              <w:suppressAutoHyphens/>
              <w:spacing w:line="288" w:lineRule="auto"/>
              <w:jc w:val="center"/>
              <w:textAlignment w:val="center"/>
              <w:rPr>
                <w:color w:val="000000"/>
                <w:sz w:val="22"/>
                <w:szCs w:val="22"/>
                <w:lang w:eastAsia="lt-LT"/>
              </w:rPr>
            </w:pPr>
            <w:r>
              <w:rPr>
                <w:color w:val="000000"/>
                <w:sz w:val="22"/>
                <w:szCs w:val="22"/>
                <w:lang w:eastAsia="lt-LT"/>
              </w:rPr>
              <w:t>(Parašas)</w:t>
            </w:r>
          </w:p>
          <w:p w14:paraId="29A88624" w14:textId="77777777" w:rsidR="001A1A75" w:rsidRDefault="001A1A75">
            <w:pPr>
              <w:suppressAutoHyphens/>
              <w:spacing w:line="288" w:lineRule="auto"/>
              <w:jc w:val="center"/>
              <w:textAlignment w:val="center"/>
              <w:rPr>
                <w:color w:val="000000"/>
                <w:sz w:val="22"/>
                <w:szCs w:val="22"/>
                <w:lang w:eastAsia="lt-LT"/>
              </w:rPr>
            </w:pPr>
          </w:p>
        </w:tc>
        <w:tc>
          <w:tcPr>
            <w:tcW w:w="1800" w:type="dxa"/>
            <w:tcBorders>
              <w:top w:val="nil"/>
              <w:left w:val="nil"/>
              <w:bottom w:val="nil"/>
              <w:right w:val="nil"/>
            </w:tcBorders>
            <w:tcMar>
              <w:top w:w="57" w:type="dxa"/>
              <w:left w:w="57" w:type="dxa"/>
              <w:bottom w:w="57" w:type="dxa"/>
              <w:right w:w="57" w:type="dxa"/>
            </w:tcMar>
          </w:tcPr>
          <w:p w14:paraId="29A88625" w14:textId="77777777" w:rsidR="001A1A75" w:rsidRDefault="001A1A75">
            <w:pPr>
              <w:rPr>
                <w:sz w:val="22"/>
                <w:szCs w:val="22"/>
                <w:lang w:eastAsia="lt-LT"/>
              </w:rPr>
            </w:pPr>
          </w:p>
        </w:tc>
        <w:tc>
          <w:tcPr>
            <w:tcW w:w="1890" w:type="dxa"/>
            <w:tcBorders>
              <w:top w:val="single" w:sz="4" w:space="0" w:color="000000"/>
              <w:left w:val="nil"/>
              <w:bottom w:val="nil"/>
              <w:right w:val="nil"/>
            </w:tcBorders>
            <w:tcMar>
              <w:top w:w="57" w:type="dxa"/>
              <w:left w:w="57" w:type="dxa"/>
              <w:bottom w:w="57" w:type="dxa"/>
              <w:right w:w="57" w:type="dxa"/>
            </w:tcMar>
          </w:tcPr>
          <w:p w14:paraId="29A88626" w14:textId="77777777" w:rsidR="001A1A75" w:rsidRDefault="008F0D82">
            <w:pPr>
              <w:suppressAutoHyphens/>
              <w:spacing w:line="288" w:lineRule="auto"/>
              <w:jc w:val="center"/>
              <w:textAlignment w:val="center"/>
              <w:rPr>
                <w:color w:val="000000"/>
                <w:sz w:val="22"/>
                <w:szCs w:val="22"/>
                <w:lang w:eastAsia="lt-LT"/>
              </w:rPr>
            </w:pPr>
            <w:r>
              <w:rPr>
                <w:color w:val="000000"/>
                <w:sz w:val="22"/>
                <w:szCs w:val="22"/>
                <w:lang w:eastAsia="lt-LT"/>
              </w:rPr>
              <w:t>(Vardas, pavardė)</w:t>
            </w:r>
          </w:p>
          <w:p w14:paraId="29A88627" w14:textId="77777777" w:rsidR="001A1A75" w:rsidRDefault="001A1A75">
            <w:pPr>
              <w:suppressAutoHyphens/>
              <w:spacing w:line="288" w:lineRule="auto"/>
              <w:jc w:val="center"/>
              <w:textAlignment w:val="center"/>
              <w:rPr>
                <w:color w:val="000000"/>
                <w:sz w:val="22"/>
                <w:szCs w:val="22"/>
                <w:lang w:eastAsia="lt-LT"/>
              </w:rPr>
            </w:pPr>
          </w:p>
        </w:tc>
      </w:tr>
    </w:tbl>
    <w:p w14:paraId="29A88629" w14:textId="77777777" w:rsidR="001A1A75" w:rsidRDefault="001A1A75">
      <w:pPr>
        <w:suppressAutoHyphens/>
        <w:spacing w:line="283" w:lineRule="auto"/>
        <w:jc w:val="both"/>
        <w:textAlignment w:val="center"/>
        <w:rPr>
          <w:color w:val="000000"/>
          <w:sz w:val="22"/>
          <w:szCs w:val="22"/>
          <w:lang w:eastAsia="lt-LT"/>
        </w:rPr>
      </w:pPr>
    </w:p>
    <w:p w14:paraId="29A8862A" w14:textId="77777777" w:rsidR="001A1A75" w:rsidRDefault="008F0D82">
      <w:pPr>
        <w:suppressAutoHyphens/>
        <w:spacing w:line="283" w:lineRule="auto"/>
        <w:ind w:left="672" w:hanging="360"/>
        <w:textAlignment w:val="center"/>
        <w:rPr>
          <w:color w:val="000000"/>
          <w:sz w:val="22"/>
          <w:szCs w:val="22"/>
          <w:lang w:eastAsia="lt-LT"/>
        </w:rPr>
      </w:pPr>
      <w:r>
        <w:rPr>
          <w:color w:val="000000"/>
          <w:sz w:val="22"/>
          <w:szCs w:val="22"/>
          <w:lang w:eastAsia="lt-LT"/>
        </w:rPr>
        <w:t>A.</w:t>
      </w:r>
      <w:r>
        <w:rPr>
          <w:color w:val="000000"/>
          <w:sz w:val="22"/>
          <w:szCs w:val="22"/>
          <w:lang w:eastAsia="lt-LT"/>
        </w:rPr>
        <w:tab/>
        <w:t>V.</w:t>
      </w:r>
    </w:p>
    <w:p w14:paraId="29A8862B" w14:textId="77777777" w:rsidR="001A1A75" w:rsidRDefault="001A1A75">
      <w:pPr>
        <w:suppressAutoHyphens/>
        <w:spacing w:line="283" w:lineRule="auto"/>
        <w:ind w:left="672"/>
        <w:jc w:val="both"/>
        <w:textAlignment w:val="center"/>
        <w:rPr>
          <w:color w:val="000000"/>
          <w:sz w:val="22"/>
          <w:szCs w:val="22"/>
          <w:lang w:eastAsia="lt-LT"/>
        </w:rPr>
      </w:pPr>
    </w:p>
    <w:tbl>
      <w:tblPr>
        <w:tblW w:w="0" w:type="auto"/>
        <w:tblInd w:w="57" w:type="dxa"/>
        <w:tblLayout w:type="fixed"/>
        <w:tblCellMar>
          <w:left w:w="0" w:type="dxa"/>
          <w:right w:w="0" w:type="dxa"/>
        </w:tblCellMar>
        <w:tblLook w:val="0000" w:firstRow="0" w:lastRow="0" w:firstColumn="0" w:lastColumn="0" w:noHBand="0" w:noVBand="0"/>
      </w:tblPr>
      <w:tblGrid>
        <w:gridCol w:w="2943"/>
        <w:gridCol w:w="1125"/>
        <w:gridCol w:w="1620"/>
        <w:gridCol w:w="1800"/>
        <w:gridCol w:w="1890"/>
      </w:tblGrid>
      <w:tr w:rsidR="001A1A75" w14:paraId="29A88634" w14:textId="77777777">
        <w:trPr>
          <w:trHeight w:val="60"/>
        </w:trPr>
        <w:tc>
          <w:tcPr>
            <w:tcW w:w="2943" w:type="dxa"/>
            <w:tcBorders>
              <w:top w:val="nil"/>
              <w:left w:val="nil"/>
              <w:bottom w:val="nil"/>
              <w:right w:val="nil"/>
            </w:tcBorders>
            <w:tcMar>
              <w:top w:w="57" w:type="dxa"/>
              <w:left w:w="57" w:type="dxa"/>
              <w:bottom w:w="57" w:type="dxa"/>
              <w:right w:w="57" w:type="dxa"/>
            </w:tcMar>
          </w:tcPr>
          <w:p w14:paraId="29A8862C" w14:textId="77777777" w:rsidR="001A1A75" w:rsidRDefault="008F0D82">
            <w:pPr>
              <w:suppressAutoHyphens/>
              <w:spacing w:line="288" w:lineRule="auto"/>
              <w:textAlignment w:val="center"/>
              <w:rPr>
                <w:color w:val="000000"/>
                <w:sz w:val="22"/>
                <w:szCs w:val="22"/>
                <w:lang w:eastAsia="lt-LT"/>
              </w:rPr>
            </w:pPr>
            <w:r>
              <w:rPr>
                <w:color w:val="000000"/>
                <w:sz w:val="22"/>
                <w:szCs w:val="22"/>
                <w:lang w:eastAsia="lt-LT"/>
              </w:rPr>
              <w:t>Vyr. buhalteris</w:t>
            </w:r>
          </w:p>
          <w:p w14:paraId="29A8862D" w14:textId="77777777" w:rsidR="001A1A75" w:rsidRDefault="001A1A75">
            <w:pPr>
              <w:suppressAutoHyphens/>
              <w:spacing w:line="288" w:lineRule="auto"/>
              <w:textAlignment w:val="center"/>
              <w:rPr>
                <w:color w:val="000000"/>
                <w:sz w:val="22"/>
                <w:szCs w:val="22"/>
                <w:lang w:eastAsia="lt-LT"/>
              </w:rPr>
            </w:pPr>
          </w:p>
        </w:tc>
        <w:tc>
          <w:tcPr>
            <w:tcW w:w="1125" w:type="dxa"/>
            <w:tcBorders>
              <w:top w:val="nil"/>
              <w:left w:val="nil"/>
              <w:bottom w:val="nil"/>
              <w:right w:val="nil"/>
            </w:tcBorders>
            <w:tcMar>
              <w:top w:w="57" w:type="dxa"/>
              <w:left w:w="57" w:type="dxa"/>
              <w:bottom w:w="57" w:type="dxa"/>
              <w:right w:w="57" w:type="dxa"/>
            </w:tcMar>
          </w:tcPr>
          <w:p w14:paraId="29A8862E" w14:textId="77777777" w:rsidR="001A1A75" w:rsidRDefault="001A1A75">
            <w:pPr>
              <w:rPr>
                <w:sz w:val="22"/>
                <w:szCs w:val="22"/>
                <w:lang w:eastAsia="lt-LT"/>
              </w:rPr>
            </w:pPr>
          </w:p>
        </w:tc>
        <w:tc>
          <w:tcPr>
            <w:tcW w:w="1620" w:type="dxa"/>
            <w:tcBorders>
              <w:top w:val="single" w:sz="4" w:space="0" w:color="000000"/>
              <w:left w:val="nil"/>
              <w:bottom w:val="nil"/>
              <w:right w:val="nil"/>
            </w:tcBorders>
            <w:tcMar>
              <w:top w:w="57" w:type="dxa"/>
              <w:left w:w="57" w:type="dxa"/>
              <w:bottom w:w="57" w:type="dxa"/>
              <w:right w:w="57" w:type="dxa"/>
            </w:tcMar>
          </w:tcPr>
          <w:p w14:paraId="29A8862F" w14:textId="77777777" w:rsidR="001A1A75" w:rsidRDefault="008F0D82">
            <w:pPr>
              <w:suppressAutoHyphens/>
              <w:spacing w:line="288" w:lineRule="auto"/>
              <w:jc w:val="center"/>
              <w:textAlignment w:val="center"/>
              <w:rPr>
                <w:color w:val="000000"/>
                <w:sz w:val="22"/>
                <w:szCs w:val="22"/>
                <w:lang w:eastAsia="lt-LT"/>
              </w:rPr>
            </w:pPr>
            <w:r>
              <w:rPr>
                <w:color w:val="000000"/>
                <w:sz w:val="22"/>
                <w:szCs w:val="22"/>
                <w:lang w:eastAsia="lt-LT"/>
              </w:rPr>
              <w:t>(Parašas)</w:t>
            </w:r>
          </w:p>
          <w:p w14:paraId="29A88630" w14:textId="77777777" w:rsidR="001A1A75" w:rsidRDefault="001A1A75">
            <w:pPr>
              <w:suppressAutoHyphens/>
              <w:spacing w:line="288" w:lineRule="auto"/>
              <w:jc w:val="center"/>
              <w:textAlignment w:val="center"/>
              <w:rPr>
                <w:color w:val="000000"/>
                <w:sz w:val="22"/>
                <w:szCs w:val="22"/>
                <w:lang w:eastAsia="lt-LT"/>
              </w:rPr>
            </w:pPr>
          </w:p>
        </w:tc>
        <w:tc>
          <w:tcPr>
            <w:tcW w:w="1800" w:type="dxa"/>
            <w:tcBorders>
              <w:top w:val="nil"/>
              <w:left w:val="nil"/>
              <w:bottom w:val="nil"/>
              <w:right w:val="nil"/>
            </w:tcBorders>
            <w:tcMar>
              <w:top w:w="57" w:type="dxa"/>
              <w:left w:w="57" w:type="dxa"/>
              <w:bottom w:w="57" w:type="dxa"/>
              <w:right w:w="57" w:type="dxa"/>
            </w:tcMar>
          </w:tcPr>
          <w:p w14:paraId="29A88631" w14:textId="77777777" w:rsidR="001A1A75" w:rsidRDefault="001A1A75">
            <w:pPr>
              <w:rPr>
                <w:sz w:val="22"/>
                <w:szCs w:val="22"/>
                <w:lang w:eastAsia="lt-LT"/>
              </w:rPr>
            </w:pPr>
          </w:p>
        </w:tc>
        <w:tc>
          <w:tcPr>
            <w:tcW w:w="1890" w:type="dxa"/>
            <w:tcBorders>
              <w:top w:val="single" w:sz="4" w:space="0" w:color="000000"/>
              <w:left w:val="nil"/>
              <w:bottom w:val="nil"/>
              <w:right w:val="nil"/>
            </w:tcBorders>
            <w:tcMar>
              <w:top w:w="57" w:type="dxa"/>
              <w:left w:w="57" w:type="dxa"/>
              <w:bottom w:w="57" w:type="dxa"/>
              <w:right w:w="57" w:type="dxa"/>
            </w:tcMar>
          </w:tcPr>
          <w:p w14:paraId="29A88632" w14:textId="77777777" w:rsidR="001A1A75" w:rsidRDefault="008F0D82">
            <w:pPr>
              <w:suppressAutoHyphens/>
              <w:spacing w:line="288" w:lineRule="auto"/>
              <w:jc w:val="center"/>
              <w:textAlignment w:val="center"/>
              <w:rPr>
                <w:color w:val="000000"/>
                <w:sz w:val="22"/>
                <w:szCs w:val="22"/>
                <w:lang w:eastAsia="lt-LT"/>
              </w:rPr>
            </w:pPr>
            <w:r>
              <w:rPr>
                <w:color w:val="000000"/>
                <w:sz w:val="22"/>
                <w:szCs w:val="22"/>
                <w:lang w:eastAsia="lt-LT"/>
              </w:rPr>
              <w:t>(Vardas, pavardė)</w:t>
            </w:r>
          </w:p>
          <w:p w14:paraId="29A88633" w14:textId="77777777" w:rsidR="001A1A75" w:rsidRDefault="001A1A75">
            <w:pPr>
              <w:suppressAutoHyphens/>
              <w:spacing w:line="288" w:lineRule="auto"/>
              <w:jc w:val="center"/>
              <w:textAlignment w:val="center"/>
              <w:rPr>
                <w:color w:val="000000"/>
                <w:sz w:val="22"/>
                <w:szCs w:val="22"/>
                <w:lang w:eastAsia="lt-LT"/>
              </w:rPr>
            </w:pPr>
          </w:p>
        </w:tc>
      </w:tr>
    </w:tbl>
    <w:p w14:paraId="29A88635" w14:textId="03E5730B" w:rsidR="001A1A75" w:rsidRDefault="001A1A75"/>
    <w:p w14:paraId="29A88638" w14:textId="28C50EE0" w:rsidR="001A1A75" w:rsidRDefault="008F0D82" w:rsidP="008F0D82">
      <w:pPr>
        <w:spacing w:line="283" w:lineRule="auto"/>
        <w:jc w:val="center"/>
        <w:rPr>
          <w:rFonts w:ascii="TimesLT" w:hAnsi="TimesLT"/>
          <w:color w:val="000000"/>
          <w:sz w:val="8"/>
          <w:szCs w:val="8"/>
        </w:rPr>
      </w:pPr>
      <w:r>
        <w:rPr>
          <w:rFonts w:ascii="TimesLT" w:hAnsi="TimesLT"/>
          <w:sz w:val="22"/>
          <w:szCs w:val="22"/>
        </w:rPr>
        <w:t>___________________</w:t>
      </w:r>
    </w:p>
    <w:bookmarkStart w:id="0" w:name="_GoBack" w:displacedByCustomXml="next"/>
    <w:bookmarkEnd w:id="0" w:displacedByCustomXml="next"/>
    <w:sectPr w:rsidR="001A1A75" w:rsidSect="008F0D82">
      <w:pgSz w:w="11907" w:h="16840"/>
      <w:pgMar w:top="709" w:right="567" w:bottom="851" w:left="1701"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A8863D" w14:textId="77777777" w:rsidR="001A1A75" w:rsidRDefault="008F0D82">
      <w:pPr>
        <w:overflowPunct w:val="0"/>
        <w:jc w:val="both"/>
        <w:textAlignment w:val="baseline"/>
        <w:rPr>
          <w:lang w:val="en-GB"/>
        </w:rPr>
      </w:pPr>
      <w:r>
        <w:rPr>
          <w:lang w:val="en-GB"/>
        </w:rPr>
        <w:separator/>
      </w:r>
    </w:p>
  </w:endnote>
  <w:endnote w:type="continuationSeparator" w:id="0">
    <w:p w14:paraId="29A8863E" w14:textId="77777777" w:rsidR="001A1A75" w:rsidRDefault="008F0D82">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8863B" w14:textId="77777777" w:rsidR="001A1A75" w:rsidRDefault="008F0D82">
      <w:pPr>
        <w:overflowPunct w:val="0"/>
        <w:jc w:val="both"/>
        <w:textAlignment w:val="baseline"/>
        <w:rPr>
          <w:lang w:val="en-GB"/>
        </w:rPr>
      </w:pPr>
      <w:r>
        <w:rPr>
          <w:lang w:val="en-GB"/>
        </w:rPr>
        <w:separator/>
      </w:r>
    </w:p>
  </w:footnote>
  <w:footnote w:type="continuationSeparator" w:id="0">
    <w:p w14:paraId="29A8863C" w14:textId="77777777" w:rsidR="001A1A75" w:rsidRDefault="008F0D82">
      <w:pPr>
        <w:overflowPunct w:val="0"/>
        <w:jc w:val="both"/>
        <w:textAlignment w:val="baseline"/>
        <w:rPr>
          <w:lang w:val="en-GB"/>
        </w:rPr>
      </w:pPr>
      <w:r>
        <w:rPr>
          <w:lang w:val="en-GB"/>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67C"/>
    <w:rsid w:val="001A1A75"/>
    <w:rsid w:val="0070267C"/>
    <w:rsid w:val="008F0D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29A88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8F0D8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8F0D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glossaryDocument" Target="glossary/document.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eg"/>
  <Relationship Id="rId9" Type="http://schemas.openxmlformats.org/officeDocument/2006/relationships/fontTable" Target="fontTable.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C92"/>
    <w:rsid w:val="00081C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81C9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81C9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2130</Words>
  <Characters>14724</Characters>
  <Application>Microsoft Office Word</Application>
  <DocSecurity>0</DocSecurity>
  <Lines>122</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16821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2016-04-13T11:59:00Z</dcterms:created>
  <dcterms:modified xsi:type="dcterms:W3CDTF">2016-04-13T12:04:00Z</dcterms:modified>
  <revision>1</revision>
</coreProperties>
</file>