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2FB9F" w14:textId="77777777" w:rsidR="00E36D0B" w:rsidRDefault="0041021E">
      <w:pPr>
        <w:suppressAutoHyphens/>
        <w:jc w:val="center"/>
        <w:rPr>
          <w:rFonts w:ascii="Arial" w:hAnsi="Arial"/>
          <w:spacing w:val="8"/>
          <w:lang w:eastAsia="lt-LT"/>
        </w:rPr>
      </w:pPr>
      <w:r>
        <w:rPr>
          <w:noProof/>
          <w:lang w:eastAsia="lt-LT"/>
        </w:rPr>
        <w:drawing>
          <wp:inline distT="0" distB="0" distL="0" distR="0" wp14:anchorId="0902FD46" wp14:editId="0902FD47">
            <wp:extent cx="520700" cy="62230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14:paraId="0902FBA0" w14:textId="77777777" w:rsidR="00E36D0B" w:rsidRPr="0041021E" w:rsidRDefault="00E36D0B">
      <w:pPr>
        <w:rPr>
          <w:szCs w:val="24"/>
        </w:rPr>
      </w:pPr>
    </w:p>
    <w:p w14:paraId="0902FBA1" w14:textId="77777777" w:rsidR="00E36D0B" w:rsidRPr="0041021E" w:rsidRDefault="0041021E">
      <w:pPr>
        <w:suppressAutoHyphens/>
        <w:jc w:val="center"/>
        <w:rPr>
          <w:b/>
          <w:bCs/>
          <w:szCs w:val="24"/>
          <w:lang w:eastAsia="lt-LT"/>
        </w:rPr>
      </w:pPr>
      <w:r w:rsidRPr="0041021E">
        <w:rPr>
          <w:b/>
          <w:bCs/>
          <w:szCs w:val="24"/>
          <w:lang w:eastAsia="lt-LT"/>
        </w:rPr>
        <w:t>LIETUVOS RESPUBLIKOS APLINKOS MINISTRAS</w:t>
      </w:r>
    </w:p>
    <w:p w14:paraId="0902FBA2" w14:textId="77777777" w:rsidR="00E36D0B" w:rsidRPr="0041021E" w:rsidRDefault="00E36D0B">
      <w:pPr>
        <w:rPr>
          <w:szCs w:val="24"/>
        </w:rPr>
      </w:pPr>
    </w:p>
    <w:p w14:paraId="0902FBA3" w14:textId="77777777" w:rsidR="00E36D0B" w:rsidRPr="0041021E" w:rsidRDefault="0041021E">
      <w:pPr>
        <w:suppressAutoHyphens/>
        <w:jc w:val="center"/>
        <w:rPr>
          <w:b/>
          <w:bCs/>
          <w:szCs w:val="24"/>
          <w:lang w:eastAsia="lt-LT"/>
        </w:rPr>
      </w:pPr>
      <w:r w:rsidRPr="0041021E">
        <w:rPr>
          <w:b/>
          <w:bCs/>
          <w:szCs w:val="24"/>
          <w:lang w:eastAsia="lt-LT"/>
        </w:rPr>
        <w:t>ĮSAKYMAS</w:t>
      </w:r>
    </w:p>
    <w:p w14:paraId="0902FBA5" w14:textId="77777777" w:rsidR="00E36D0B" w:rsidRDefault="0041021E">
      <w:pPr>
        <w:suppressAutoHyphens/>
        <w:jc w:val="center"/>
        <w:rPr>
          <w:b/>
          <w:lang w:eastAsia="lt-LT"/>
        </w:rPr>
      </w:pPr>
      <w:r w:rsidRPr="0041021E">
        <w:rPr>
          <w:b/>
          <w:bCs/>
          <w:caps/>
          <w:szCs w:val="24"/>
          <w:lang w:eastAsia="lt-LT"/>
        </w:rPr>
        <w:t xml:space="preserve">DĖL statybos techninio reglamento </w:t>
      </w:r>
      <w:r w:rsidRPr="0041021E">
        <w:rPr>
          <w:b/>
          <w:caps/>
          <w:szCs w:val="24"/>
          <w:lang w:eastAsia="lt-LT"/>
        </w:rPr>
        <w:t xml:space="preserve">STR 2.03.01:2019 „Statinių </w:t>
      </w:r>
      <w:r>
        <w:rPr>
          <w:b/>
          <w:caps/>
          <w:lang w:eastAsia="lt-LT"/>
        </w:rPr>
        <w:t>prieinamumas“</w:t>
      </w:r>
      <w:r>
        <w:rPr>
          <w:b/>
          <w:bCs/>
          <w:caps/>
          <w:szCs w:val="24"/>
          <w:lang w:eastAsia="lt-LT"/>
        </w:rPr>
        <w:t xml:space="preserve"> PATVIRTINIMO</w:t>
      </w:r>
    </w:p>
    <w:p w14:paraId="0902FBA6" w14:textId="77777777" w:rsidR="00E36D0B" w:rsidRDefault="00E36D0B">
      <w:pPr>
        <w:suppressAutoHyphens/>
        <w:jc w:val="center"/>
        <w:rPr>
          <w:b/>
          <w:lang w:eastAsia="lt-LT"/>
        </w:rPr>
      </w:pPr>
    </w:p>
    <w:p w14:paraId="0902FBA7" w14:textId="77777777" w:rsidR="00E36D0B" w:rsidRDefault="0041021E">
      <w:pPr>
        <w:suppressAutoHyphens/>
        <w:jc w:val="center"/>
        <w:rPr>
          <w:lang w:eastAsia="lt-LT"/>
        </w:rPr>
      </w:pPr>
      <w:r>
        <w:rPr>
          <w:lang w:eastAsia="lt-LT"/>
        </w:rPr>
        <w:t>2019 m. lapkričio 4 d. Nr. D1-653</w:t>
      </w:r>
    </w:p>
    <w:p w14:paraId="0902FBA8" w14:textId="77777777" w:rsidR="00E36D0B" w:rsidRDefault="0041021E">
      <w:pPr>
        <w:suppressAutoHyphens/>
        <w:jc w:val="center"/>
        <w:rPr>
          <w:lang w:eastAsia="lt-LT"/>
        </w:rPr>
      </w:pPr>
      <w:r>
        <w:rPr>
          <w:lang w:eastAsia="lt-LT"/>
        </w:rPr>
        <w:t>Vilnius</w:t>
      </w:r>
      <w:r>
        <w:rPr>
          <w:lang w:eastAsia="lt-LT"/>
        </w:rPr>
        <w:br/>
      </w:r>
    </w:p>
    <w:p w14:paraId="0902FBA9" w14:textId="77777777" w:rsidR="00E36D0B" w:rsidRDefault="00E36D0B">
      <w:pPr>
        <w:suppressAutoHyphens/>
        <w:jc w:val="center"/>
        <w:rPr>
          <w:lang w:eastAsia="lt-LT"/>
        </w:rPr>
      </w:pPr>
    </w:p>
    <w:p w14:paraId="0902FBAB" w14:textId="77777777" w:rsidR="00E36D0B" w:rsidRDefault="0041021E">
      <w:pPr>
        <w:suppressAutoHyphens/>
        <w:ind w:right="-2" w:firstLine="567"/>
        <w:jc w:val="both"/>
        <w:rPr>
          <w:szCs w:val="24"/>
          <w:lang w:eastAsia="lt-LT"/>
        </w:rPr>
      </w:pPr>
      <w:r>
        <w:rPr>
          <w:szCs w:val="24"/>
          <w:lang w:eastAsia="lt-LT"/>
        </w:rPr>
        <w:t xml:space="preserve">Vadovaudamasis Lietuvos Respublikos statybos įstatymo </w:t>
      </w:r>
      <w:r>
        <w:rPr>
          <w:color w:val="000000"/>
          <w:szCs w:val="24"/>
          <w:lang w:eastAsia="lt-LT"/>
        </w:rPr>
        <w:t>6 straipsnio 3 dalimi,</w:t>
      </w:r>
      <w:r>
        <w:rPr>
          <w:szCs w:val="24"/>
          <w:lang w:eastAsia="lt-LT"/>
        </w:rPr>
        <w:t xml:space="preserve"> 8 straipsnio 1 dalies 1 punktu, Lietuvos Respublikos neįgaliųjų socialinės integracijos įstatymo</w:t>
      </w:r>
      <w:r>
        <w:rPr>
          <w:color w:val="000000"/>
          <w:szCs w:val="24"/>
          <w:lang w:eastAsia="lt-LT"/>
        </w:rPr>
        <w:t xml:space="preserve"> 11 straipsnio 2 dalimi</w:t>
      </w:r>
      <w:r>
        <w:rPr>
          <w:szCs w:val="24"/>
          <w:lang w:eastAsia="lt-LT"/>
        </w:rPr>
        <w:t xml:space="preserve"> ir Lietuvos Respublikos Vyriausybės 2002 m. vasario 26 d. nutarimo Nr. 280 „Dėl Lietuvos Respublikos statybos įstatymo Nr. I-1240 įgyvendinimo“ 1.2, 1.30 papunkčiais:</w:t>
      </w:r>
    </w:p>
    <w:p w14:paraId="0902FBAC" w14:textId="77777777" w:rsidR="00E36D0B" w:rsidRDefault="0041021E">
      <w:pPr>
        <w:suppressAutoHyphens/>
        <w:ind w:right="-2" w:firstLine="567"/>
        <w:jc w:val="both"/>
        <w:rPr>
          <w:szCs w:val="24"/>
          <w:lang w:eastAsia="lt-LT"/>
        </w:rPr>
      </w:pPr>
      <w:r>
        <w:rPr>
          <w:szCs w:val="24"/>
          <w:lang w:eastAsia="lt-LT"/>
        </w:rPr>
        <w:t>1</w:t>
      </w:r>
      <w:r>
        <w:rPr>
          <w:szCs w:val="24"/>
          <w:lang w:eastAsia="lt-LT"/>
        </w:rPr>
        <w:t xml:space="preserve">. T v i r t i n u statybos techninį reglamentą </w:t>
      </w:r>
      <w:r>
        <w:rPr>
          <w:lang w:eastAsia="lt-LT"/>
        </w:rPr>
        <w:t xml:space="preserve">STR 2.03.01:2019 „Statinių prieinamumas“ </w:t>
      </w:r>
      <w:r>
        <w:rPr>
          <w:szCs w:val="24"/>
          <w:lang w:eastAsia="lt-LT"/>
        </w:rPr>
        <w:t xml:space="preserve">(toliau – </w:t>
      </w:r>
      <w:r>
        <w:rPr>
          <w:lang w:eastAsia="lt-LT"/>
        </w:rPr>
        <w:t>STR 2.03.01:2019</w:t>
      </w:r>
      <w:r>
        <w:rPr>
          <w:szCs w:val="24"/>
          <w:lang w:eastAsia="lt-LT"/>
        </w:rPr>
        <w:t>) (pridedama).</w:t>
      </w:r>
    </w:p>
    <w:p w14:paraId="0902FBAD" w14:textId="77777777" w:rsidR="00E36D0B" w:rsidRDefault="0041021E">
      <w:pPr>
        <w:suppressAutoHyphens/>
        <w:ind w:right="-2" w:firstLine="567"/>
        <w:jc w:val="both"/>
        <w:rPr>
          <w:szCs w:val="24"/>
          <w:lang w:eastAsia="lt-LT"/>
        </w:rPr>
      </w:pPr>
      <w:r>
        <w:rPr>
          <w:szCs w:val="24"/>
          <w:lang w:eastAsia="lt-LT"/>
        </w:rPr>
        <w:t>2</w:t>
      </w:r>
      <w:r>
        <w:rPr>
          <w:szCs w:val="24"/>
          <w:lang w:eastAsia="lt-LT"/>
        </w:rPr>
        <w:t xml:space="preserve">. P r i p a ž į s t u netekusiais galios </w:t>
      </w:r>
      <w:r>
        <w:rPr>
          <w:color w:val="000000"/>
          <w:szCs w:val="24"/>
          <w:lang w:eastAsia="lt-LT"/>
        </w:rPr>
        <w:t xml:space="preserve">Lietuvos Respublikos aplinkos ministro </w:t>
      </w:r>
      <w:r>
        <w:rPr>
          <w:rFonts w:eastAsia="SimSun"/>
          <w:kern w:val="2"/>
          <w:szCs w:val="24"/>
          <w:lang w:eastAsia="zh-CN"/>
        </w:rPr>
        <w:t>2001 m. birželio 14 d. įsakymą Nr. 317 „Dėl STR 2.03.01:2001 „Statiniai ir teritorijos. R</w:t>
      </w:r>
      <w:r>
        <w:rPr>
          <w:rFonts w:eastAsia="SimSun"/>
          <w:kern w:val="2"/>
          <w:szCs w:val="24"/>
          <w:lang w:eastAsia="zh-CN"/>
        </w:rPr>
        <w:t>eikalavimai žmonių su negalia reikmėms“ patvirtinimo“</w:t>
      </w:r>
      <w:r>
        <w:rPr>
          <w:szCs w:val="24"/>
          <w:lang w:eastAsia="lt-LT"/>
        </w:rPr>
        <w:t xml:space="preserve"> su visais pakeitimais ir papildymais.</w:t>
      </w:r>
    </w:p>
    <w:p w14:paraId="0902FBAE" w14:textId="698D8923" w:rsidR="00E36D0B" w:rsidRDefault="0041021E">
      <w:pPr>
        <w:widowControl w:val="0"/>
        <w:suppressAutoHyphens/>
        <w:ind w:right="-2" w:firstLine="567"/>
        <w:rPr>
          <w:rFonts w:eastAsia="SimSun"/>
          <w:kern w:val="2"/>
          <w:szCs w:val="24"/>
          <w:lang w:eastAsia="zh-CN"/>
        </w:rPr>
      </w:pPr>
      <w:r>
        <w:rPr>
          <w:szCs w:val="24"/>
          <w:lang w:eastAsia="lt-LT"/>
        </w:rPr>
        <w:t>3</w:t>
      </w:r>
      <w:r>
        <w:rPr>
          <w:szCs w:val="24"/>
          <w:lang w:eastAsia="lt-LT"/>
        </w:rPr>
        <w:t>. N u s t a t a u, kad šis įsakymas įsigalioja 2020 m. sausio 1 d.</w:t>
      </w:r>
    </w:p>
    <w:p w14:paraId="0902FBAF" w14:textId="1B0846ED" w:rsidR="00E36D0B" w:rsidRDefault="00E36D0B">
      <w:pPr>
        <w:suppressAutoHyphens/>
        <w:ind w:firstLine="567"/>
        <w:jc w:val="both"/>
        <w:rPr>
          <w:lang w:eastAsia="lt-LT"/>
        </w:rPr>
      </w:pPr>
    </w:p>
    <w:p w14:paraId="0902FBB0" w14:textId="77777777" w:rsidR="00E36D0B" w:rsidRDefault="00E36D0B">
      <w:pPr>
        <w:suppressAutoHyphens/>
        <w:ind w:firstLine="567"/>
        <w:rPr>
          <w:lang w:eastAsia="lt-LT"/>
        </w:rPr>
      </w:pPr>
    </w:p>
    <w:p w14:paraId="0902FBB1" w14:textId="77777777" w:rsidR="00E36D0B" w:rsidRDefault="00E36D0B">
      <w:pPr>
        <w:suppressAutoHyphens/>
        <w:ind w:firstLine="567"/>
        <w:rPr>
          <w:lang w:eastAsia="lt-LT"/>
        </w:rPr>
      </w:pPr>
    </w:p>
    <w:p w14:paraId="0902FBCE" w14:textId="3B67DFFA" w:rsidR="00E36D0B" w:rsidRDefault="0041021E" w:rsidP="0041021E">
      <w:pPr>
        <w:tabs>
          <w:tab w:val="left" w:pos="7371"/>
        </w:tabs>
        <w:suppressAutoHyphens/>
        <w:ind w:right="34"/>
        <w:rPr>
          <w:lang w:eastAsia="lt-LT"/>
        </w:rPr>
      </w:pPr>
      <w:r>
        <w:rPr>
          <w:lang w:eastAsia="lt-LT"/>
        </w:rPr>
        <w:t>Aplinkos ministras</w:t>
      </w:r>
      <w:r>
        <w:rPr>
          <w:lang w:eastAsia="lt-LT"/>
        </w:rPr>
        <w:tab/>
        <w:t>Kęstutis Mažeika</w:t>
      </w:r>
    </w:p>
    <w:p w14:paraId="72587B10" w14:textId="77777777" w:rsidR="0041021E" w:rsidRDefault="0041021E">
      <w:pPr>
        <w:suppressAutoHyphens/>
        <w:ind w:firstLine="5103"/>
        <w:sectPr w:rsidR="0041021E" w:rsidSect="0041021E">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134" w:right="567" w:bottom="1134" w:left="1701" w:header="567" w:footer="567" w:gutter="0"/>
          <w:cols w:space="1296"/>
          <w:formProt w:val="0"/>
          <w:docGrid w:linePitch="360"/>
        </w:sectPr>
      </w:pPr>
    </w:p>
    <w:p w14:paraId="0902FBCF" w14:textId="592B6F44" w:rsidR="00E36D0B" w:rsidRDefault="0041021E">
      <w:pPr>
        <w:suppressAutoHyphens/>
        <w:ind w:firstLine="5103"/>
        <w:rPr>
          <w:lang w:eastAsia="lt-LT"/>
        </w:rPr>
      </w:pPr>
      <w:r>
        <w:rPr>
          <w:lang w:eastAsia="lt-LT"/>
        </w:rPr>
        <w:lastRenderedPageBreak/>
        <w:t>PATVIRTINTA</w:t>
      </w:r>
    </w:p>
    <w:p w14:paraId="0902FBD0" w14:textId="77777777" w:rsidR="00E36D0B" w:rsidRDefault="0041021E">
      <w:pPr>
        <w:suppressAutoHyphens/>
        <w:ind w:firstLine="5103"/>
        <w:rPr>
          <w:lang w:eastAsia="lt-LT"/>
        </w:rPr>
      </w:pPr>
      <w:r>
        <w:rPr>
          <w:lang w:eastAsia="lt-LT"/>
        </w:rPr>
        <w:t xml:space="preserve">Lietuvos Respublikos aplinkos ministro </w:t>
      </w:r>
    </w:p>
    <w:p w14:paraId="0902FBD1" w14:textId="77777777" w:rsidR="00E36D0B" w:rsidRDefault="0041021E">
      <w:pPr>
        <w:suppressAutoHyphens/>
        <w:ind w:firstLine="5103"/>
        <w:rPr>
          <w:lang w:eastAsia="lt-LT"/>
        </w:rPr>
      </w:pPr>
      <w:r>
        <w:rPr>
          <w:lang w:eastAsia="lt-LT"/>
        </w:rPr>
        <w:t xml:space="preserve">2019 m. </w:t>
      </w:r>
      <w:proofErr w:type="spellStart"/>
      <w:r>
        <w:rPr>
          <w:lang w:eastAsia="lt-LT"/>
        </w:rPr>
        <w:t>lapkrič</w:t>
      </w:r>
      <w:r>
        <w:rPr>
          <w:lang w:val="en-US" w:eastAsia="lt-LT"/>
        </w:rPr>
        <w:t>io</w:t>
      </w:r>
      <w:proofErr w:type="spellEnd"/>
      <w:r>
        <w:rPr>
          <w:lang w:val="en-US" w:eastAsia="lt-LT"/>
        </w:rPr>
        <w:t xml:space="preserve"> 4 </w:t>
      </w:r>
      <w:r>
        <w:rPr>
          <w:lang w:eastAsia="lt-LT"/>
        </w:rPr>
        <w:t>d. įsakymu Nr. D1-653</w:t>
      </w:r>
    </w:p>
    <w:p w14:paraId="0902FBD2" w14:textId="77777777" w:rsidR="00E36D0B" w:rsidRDefault="00E36D0B">
      <w:pPr>
        <w:suppressAutoHyphens/>
        <w:ind w:firstLine="5670"/>
        <w:rPr>
          <w:b/>
          <w:lang w:eastAsia="lt-LT"/>
        </w:rPr>
      </w:pPr>
    </w:p>
    <w:p w14:paraId="0902FBD3" w14:textId="77777777" w:rsidR="00E36D0B" w:rsidRDefault="0041021E">
      <w:pPr>
        <w:suppressAutoHyphens/>
        <w:jc w:val="center"/>
        <w:rPr>
          <w:b/>
          <w:lang w:eastAsia="lt-LT"/>
        </w:rPr>
      </w:pPr>
      <w:r>
        <w:rPr>
          <w:b/>
          <w:lang w:eastAsia="lt-LT"/>
        </w:rPr>
        <w:t>STATYBOS TECHNINIS REGLAMENTAS</w:t>
      </w:r>
    </w:p>
    <w:p w14:paraId="0902FBD4" w14:textId="77777777" w:rsidR="00E36D0B" w:rsidRDefault="0041021E">
      <w:pPr>
        <w:suppressAutoHyphens/>
        <w:jc w:val="center"/>
        <w:rPr>
          <w:b/>
          <w:lang w:eastAsia="lt-LT"/>
        </w:rPr>
      </w:pPr>
      <w:r>
        <w:rPr>
          <w:b/>
          <w:lang w:eastAsia="lt-LT"/>
        </w:rPr>
        <w:t>STR 2.03.01:2019</w:t>
      </w:r>
    </w:p>
    <w:p w14:paraId="0902FBD5" w14:textId="77777777" w:rsidR="00E36D0B" w:rsidRDefault="0041021E">
      <w:pPr>
        <w:suppressAutoHyphens/>
        <w:jc w:val="center"/>
        <w:rPr>
          <w:b/>
          <w:smallCaps/>
          <w:lang w:eastAsia="lt-LT"/>
        </w:rPr>
      </w:pPr>
      <w:r>
        <w:rPr>
          <w:b/>
          <w:smallCaps/>
          <w:lang w:eastAsia="lt-LT"/>
        </w:rPr>
        <w:t>STATINIŲ PRIEINAMUMAS</w:t>
      </w:r>
    </w:p>
    <w:p w14:paraId="0902FBD6" w14:textId="77777777" w:rsidR="00E36D0B" w:rsidRDefault="00E36D0B">
      <w:pPr>
        <w:suppressAutoHyphens/>
        <w:jc w:val="center"/>
        <w:rPr>
          <w:b/>
          <w:lang w:eastAsia="lt-LT"/>
        </w:rPr>
      </w:pPr>
    </w:p>
    <w:p w14:paraId="0902FBD7" w14:textId="77777777" w:rsidR="00E36D0B" w:rsidRDefault="00E36D0B">
      <w:pPr>
        <w:suppressAutoHyphens/>
        <w:jc w:val="center"/>
        <w:rPr>
          <w:b/>
          <w:lang w:eastAsia="lt-LT"/>
        </w:rPr>
      </w:pPr>
    </w:p>
    <w:p w14:paraId="0902FBD8" w14:textId="77777777" w:rsidR="00E36D0B" w:rsidRDefault="0041021E">
      <w:pPr>
        <w:suppressAutoHyphens/>
        <w:jc w:val="center"/>
        <w:rPr>
          <w:b/>
          <w:lang w:eastAsia="lt-LT"/>
        </w:rPr>
      </w:pPr>
      <w:r>
        <w:rPr>
          <w:b/>
          <w:lang w:eastAsia="lt-LT"/>
        </w:rPr>
        <w:t>I</w:t>
      </w:r>
      <w:r>
        <w:rPr>
          <w:b/>
          <w:lang w:eastAsia="lt-LT"/>
        </w:rPr>
        <w:t xml:space="preserve"> SKYRIUS</w:t>
      </w:r>
    </w:p>
    <w:p w14:paraId="0902FBD9" w14:textId="77777777" w:rsidR="00E36D0B" w:rsidRDefault="0041021E">
      <w:pPr>
        <w:suppressAutoHyphens/>
        <w:jc w:val="center"/>
        <w:rPr>
          <w:b/>
          <w:lang w:eastAsia="lt-LT"/>
        </w:rPr>
      </w:pPr>
      <w:r>
        <w:rPr>
          <w:b/>
          <w:lang w:eastAsia="lt-LT"/>
        </w:rPr>
        <w:t>BENDROSIOS NUOSTATOS</w:t>
      </w:r>
    </w:p>
    <w:p w14:paraId="0902FBDA" w14:textId="77777777" w:rsidR="00E36D0B" w:rsidRDefault="00E36D0B"/>
    <w:p w14:paraId="0902FBDB" w14:textId="77777777" w:rsidR="00E36D0B" w:rsidRDefault="0041021E" w:rsidP="0041021E">
      <w:pPr>
        <w:suppressAutoHyphens/>
        <w:ind w:firstLine="709"/>
        <w:jc w:val="both"/>
        <w:rPr>
          <w:lang w:eastAsia="lt-LT"/>
        </w:rPr>
      </w:pPr>
      <w:r>
        <w:rPr>
          <w:lang w:eastAsia="lt-LT"/>
        </w:rPr>
        <w:t>1</w:t>
      </w:r>
      <w:r>
        <w:rPr>
          <w:lang w:eastAsia="lt-LT"/>
        </w:rPr>
        <w:t xml:space="preserve">. Statybos techninis reglamentas STR 2.03.01:2019 „Statinių </w:t>
      </w:r>
      <w:r>
        <w:rPr>
          <w:lang w:eastAsia="lt-LT"/>
        </w:rPr>
        <w:t>prieinamumas“ (toliau – Reglamentas) nustato reikalavimus rengiant statinių, nurodytų Reglamento 1 priede, statybos, rekonstravimo, pastato atnaujinimo (modernizavimo), kapitalinio remonto, supaprastintą statybos, supaprastintą rekonstravimo projektus, kap</w:t>
      </w:r>
      <w:r>
        <w:rPr>
          <w:lang w:eastAsia="lt-LT"/>
        </w:rPr>
        <w:t>italinio remonto aprašą, paprastojo remonto projektą ar paprastojo remonto aprašą arba keičiant statinių paskirtį į nurodytą Reglamento 1 priede paskirtį. Atnaujinant (modernizuojant), rekonstruojant ar remontuojant reglamento 1 priede nurodytus statinius,</w:t>
      </w:r>
      <w:r>
        <w:rPr>
          <w:lang w:eastAsia="lt-LT"/>
        </w:rPr>
        <w:t xml:space="preserve"> reglamento nuostatos taikomos tik atnaujinimo (modernizavimo), rekonstravimo ar remonto metu pertvarkomoms statinio dalims, ši išimtis netaikoma, kai keičiama statinių paskirtis. Sprendimas pritaikyti daugiabučio namo bendrojo naudojimo objektus neįgaliųj</w:t>
      </w:r>
      <w:r>
        <w:rPr>
          <w:lang w:eastAsia="lt-LT"/>
        </w:rPr>
        <w:t xml:space="preserve">ų specialiesiems poreikiams priimamas Neįgaliųjų socialinės integracijos įstatymo [5.1] 11 straipsnio 3 dalies nustatyta tvarka. </w:t>
      </w:r>
    </w:p>
    <w:p w14:paraId="0902FBDC" w14:textId="77777777" w:rsidR="00E36D0B" w:rsidRDefault="0041021E" w:rsidP="0041021E">
      <w:pPr>
        <w:suppressAutoHyphens/>
        <w:ind w:firstLine="720"/>
        <w:jc w:val="both"/>
        <w:rPr>
          <w:lang w:eastAsia="lt-LT"/>
        </w:rPr>
      </w:pPr>
      <w:r>
        <w:rPr>
          <w:lang w:eastAsia="lt-LT"/>
        </w:rPr>
        <w:t>2</w:t>
      </w:r>
      <w:r>
        <w:rPr>
          <w:lang w:eastAsia="lt-LT"/>
        </w:rPr>
        <w:t>. Projektuojant statinius turi būti vadovaujamasi bendraisiais projektavimo aspektais, nustatytais ISO 21542:2011 [5.10].</w:t>
      </w:r>
    </w:p>
    <w:p w14:paraId="0902FBDD" w14:textId="77777777" w:rsidR="00E36D0B" w:rsidRDefault="0041021E" w:rsidP="0041021E">
      <w:pPr>
        <w:suppressAutoHyphens/>
        <w:ind w:firstLine="709"/>
        <w:jc w:val="both"/>
        <w:rPr>
          <w:lang w:eastAsia="lt-LT"/>
        </w:rPr>
      </w:pPr>
      <w:r>
        <w:rPr>
          <w:lang w:eastAsia="lt-LT"/>
        </w:rPr>
        <w:t>3</w:t>
      </w:r>
      <w:r>
        <w:rPr>
          <w:lang w:eastAsia="lt-LT"/>
        </w:rPr>
        <w:t xml:space="preserve">. Šio reglamento reikalavimai taikomi rengiant geležinkelių infrastruktūros statinių projektus tiek, kiek jie neprieštarauja Komisijos reglamentui (ES) Nr. 1300/2014 [5.9]. </w:t>
      </w:r>
    </w:p>
    <w:p w14:paraId="0902FBDE" w14:textId="77777777" w:rsidR="00E36D0B" w:rsidRDefault="0041021E" w:rsidP="0041021E">
      <w:pPr>
        <w:suppressAutoHyphens/>
        <w:ind w:firstLine="709"/>
        <w:jc w:val="both"/>
        <w:rPr>
          <w:lang w:eastAsia="lt-LT"/>
        </w:rPr>
      </w:pPr>
      <w:r>
        <w:rPr>
          <w:lang w:eastAsia="lt-LT"/>
        </w:rPr>
        <w:t>4</w:t>
      </w:r>
      <w:r>
        <w:rPr>
          <w:lang w:eastAsia="lt-LT"/>
        </w:rPr>
        <w:t xml:space="preserve">. Jeigu Reglamentas ar kiti teisės aktai nenustato atskirų reikalavimų </w:t>
      </w:r>
      <w:r>
        <w:rPr>
          <w:lang w:eastAsia="lt-LT"/>
        </w:rPr>
        <w:t>statinių (jų dalių), nurodytų Reglamento 1 priede, prieinamumui, turi būti vadovaujamasi ISO 21542:2011 [5.10] ir ISO 23599:2012 [5.11]. Jeigu Reglamento ar kitų teisės aktų reikalavimai ir tarptautinių ar Lietuvos standartų reikalavimai, į kuriuos pateiki</w:t>
      </w:r>
      <w:r>
        <w:rPr>
          <w:lang w:eastAsia="lt-LT"/>
        </w:rPr>
        <w:t>amos nuorodos, skiriasi, taikomi Reglamento ar kitų teisės aktų reikalavimai.</w:t>
      </w:r>
    </w:p>
    <w:p w14:paraId="0902FBDF" w14:textId="77777777" w:rsidR="00E36D0B" w:rsidRDefault="0041021E"/>
    <w:p w14:paraId="0902FBE0" w14:textId="77777777" w:rsidR="00E36D0B" w:rsidRDefault="0041021E">
      <w:pPr>
        <w:suppressAutoHyphens/>
        <w:jc w:val="center"/>
        <w:rPr>
          <w:b/>
          <w:lang w:eastAsia="lt-LT"/>
        </w:rPr>
      </w:pPr>
      <w:r>
        <w:rPr>
          <w:b/>
          <w:lang w:eastAsia="lt-LT"/>
        </w:rPr>
        <w:t>II</w:t>
      </w:r>
      <w:r>
        <w:rPr>
          <w:b/>
          <w:lang w:eastAsia="lt-LT"/>
        </w:rPr>
        <w:t xml:space="preserve"> SKYRIUS</w:t>
      </w:r>
    </w:p>
    <w:p w14:paraId="0902FBE1" w14:textId="77777777" w:rsidR="00E36D0B" w:rsidRDefault="0041021E">
      <w:pPr>
        <w:suppressAutoHyphens/>
        <w:jc w:val="center"/>
        <w:rPr>
          <w:b/>
          <w:lang w:eastAsia="lt-LT"/>
        </w:rPr>
      </w:pPr>
      <w:r>
        <w:rPr>
          <w:b/>
          <w:lang w:eastAsia="lt-LT"/>
        </w:rPr>
        <w:t>NUORODOS</w:t>
      </w:r>
    </w:p>
    <w:p w14:paraId="0902FBE2" w14:textId="77777777" w:rsidR="00E36D0B" w:rsidRDefault="00E36D0B">
      <w:pPr>
        <w:suppressAutoHyphens/>
        <w:ind w:firstLine="709"/>
        <w:rPr>
          <w:lang w:eastAsia="lt-LT"/>
        </w:rPr>
      </w:pPr>
    </w:p>
    <w:p w14:paraId="0902FBE3" w14:textId="77777777" w:rsidR="00E36D0B" w:rsidRDefault="0041021E" w:rsidP="0041021E">
      <w:pPr>
        <w:suppressAutoHyphens/>
        <w:ind w:firstLine="709"/>
        <w:jc w:val="both"/>
        <w:rPr>
          <w:lang w:eastAsia="lt-LT"/>
        </w:rPr>
      </w:pPr>
      <w:r>
        <w:rPr>
          <w:lang w:eastAsia="lt-LT"/>
        </w:rPr>
        <w:t>5</w:t>
      </w:r>
      <w:r>
        <w:rPr>
          <w:lang w:eastAsia="lt-LT"/>
        </w:rPr>
        <w:t>. Šiame reglamente pateiktos nuorodos į šiuos normatyvinius dokumentus ir kitus teisės aktus:</w:t>
      </w:r>
    </w:p>
    <w:p w14:paraId="0902FBE4" w14:textId="77777777" w:rsidR="00E36D0B" w:rsidRDefault="0041021E" w:rsidP="0041021E">
      <w:pPr>
        <w:widowControl w:val="0"/>
        <w:suppressAutoHyphens/>
        <w:ind w:firstLine="709"/>
        <w:jc w:val="both"/>
        <w:rPr>
          <w:lang w:eastAsia="lt-LT"/>
        </w:rPr>
      </w:pPr>
      <w:r>
        <w:rPr>
          <w:lang w:eastAsia="lt-LT"/>
        </w:rPr>
        <w:t>5.1</w:t>
      </w:r>
      <w:r>
        <w:rPr>
          <w:lang w:eastAsia="lt-LT"/>
        </w:rPr>
        <w:t xml:space="preserve">. Lietuvos Respublikos neįgaliųjų socialinės integracijos įstatymą; </w:t>
      </w:r>
    </w:p>
    <w:p w14:paraId="0902FBE5" w14:textId="77777777" w:rsidR="00E36D0B" w:rsidRDefault="0041021E" w:rsidP="0041021E">
      <w:pPr>
        <w:widowControl w:val="0"/>
        <w:suppressAutoHyphens/>
        <w:ind w:firstLine="709"/>
        <w:jc w:val="both"/>
        <w:rPr>
          <w:lang w:eastAsia="lt-LT"/>
        </w:rPr>
      </w:pPr>
      <w:r>
        <w:rPr>
          <w:lang w:eastAsia="lt-LT"/>
        </w:rPr>
        <w:t>5.2</w:t>
      </w:r>
      <w:r>
        <w:rPr>
          <w:lang w:eastAsia="lt-LT"/>
        </w:rPr>
        <w:t xml:space="preserve">. Lietuvos Respublikos statybos įstatymą; </w:t>
      </w:r>
    </w:p>
    <w:p w14:paraId="0902FBE6" w14:textId="77777777" w:rsidR="00E36D0B" w:rsidRDefault="0041021E" w:rsidP="0041021E">
      <w:pPr>
        <w:suppressAutoHyphens/>
        <w:ind w:firstLine="709"/>
        <w:jc w:val="both"/>
        <w:rPr>
          <w:lang w:eastAsia="lt-LT"/>
        </w:rPr>
      </w:pPr>
      <w:r>
        <w:rPr>
          <w:lang w:eastAsia="lt-LT"/>
        </w:rPr>
        <w:t>5.3</w:t>
      </w:r>
      <w:r>
        <w:rPr>
          <w:lang w:eastAsia="lt-LT"/>
        </w:rPr>
        <w:t xml:space="preserve">. Lietuvos Respublikos saugaus eismo automobilių keliais įstatymą; </w:t>
      </w:r>
    </w:p>
    <w:p w14:paraId="0902FBE7" w14:textId="77777777" w:rsidR="00E36D0B" w:rsidRDefault="0041021E" w:rsidP="0041021E">
      <w:pPr>
        <w:suppressAutoHyphens/>
        <w:ind w:firstLine="709"/>
        <w:jc w:val="both"/>
        <w:rPr>
          <w:lang w:eastAsia="lt-LT"/>
        </w:rPr>
      </w:pPr>
      <w:r>
        <w:rPr>
          <w:lang w:eastAsia="lt-LT"/>
        </w:rPr>
        <w:t>5.4</w:t>
      </w:r>
      <w:r>
        <w:rPr>
          <w:lang w:eastAsia="lt-LT"/>
        </w:rPr>
        <w:t>. Lietuvos Respublikos želdynų įstatymą;</w:t>
      </w:r>
    </w:p>
    <w:p w14:paraId="0902FBE8" w14:textId="77777777" w:rsidR="00E36D0B" w:rsidRDefault="0041021E" w:rsidP="0041021E">
      <w:pPr>
        <w:widowControl w:val="0"/>
        <w:suppressAutoHyphens/>
        <w:ind w:firstLine="709"/>
        <w:jc w:val="both"/>
        <w:rPr>
          <w:lang w:eastAsia="lt-LT"/>
        </w:rPr>
      </w:pPr>
      <w:r>
        <w:rPr>
          <w:lang w:eastAsia="lt-LT"/>
        </w:rPr>
        <w:t>5.5</w:t>
      </w:r>
      <w:r>
        <w:rPr>
          <w:lang w:eastAsia="lt-LT"/>
        </w:rPr>
        <w:t>. staty</w:t>
      </w:r>
      <w:r>
        <w:rPr>
          <w:lang w:eastAsia="lt-LT"/>
        </w:rPr>
        <w:t>bos techninį reglamentą STR 2.06.04:2014 „Gatvės ir vietinės reikšmės keliai. Bendrieji reikalavimai“, patvirtintą Lietuvos Respublikos aplinkos ministro 2011 m. gruodžio 2 d. įsakymu Nr. D1-933 „Dėl statybos techninio reglamento STR 2.06.04:2014 „Gatvės i</w:t>
      </w:r>
      <w:r>
        <w:rPr>
          <w:lang w:eastAsia="lt-LT"/>
        </w:rPr>
        <w:t xml:space="preserve">r vietinės reikšmės keliai. Bendrieji reikalavimai“ patvirtinimo pakeitimo“; </w:t>
      </w:r>
    </w:p>
    <w:p w14:paraId="0902FBE9" w14:textId="77777777" w:rsidR="00E36D0B" w:rsidRDefault="0041021E" w:rsidP="0041021E">
      <w:pPr>
        <w:widowControl w:val="0"/>
        <w:suppressAutoHyphens/>
        <w:ind w:firstLine="709"/>
        <w:jc w:val="both"/>
        <w:rPr>
          <w:lang w:eastAsia="lt-LT"/>
        </w:rPr>
      </w:pPr>
      <w:r>
        <w:rPr>
          <w:lang w:eastAsia="lt-LT"/>
        </w:rPr>
        <w:t>5.6</w:t>
      </w:r>
      <w:r>
        <w:rPr>
          <w:lang w:eastAsia="lt-LT"/>
        </w:rPr>
        <w:t xml:space="preserve">. statybos techninį reglamentą STR 2.02.08:2012 „Automobilių saugyklų projektavimas“, patvirtintą Lietuvos Respublikos aplinkos ministro 2005 m. vasario 11 d. įsakymu Nr. </w:t>
      </w:r>
      <w:r>
        <w:rPr>
          <w:lang w:eastAsia="lt-LT"/>
        </w:rPr>
        <w:t>D1-83 „Dėl statybos techninio reglamento STR 2.02.08:2005 „Automobilių saugyklų projektavimas“ patvirtinimo“;</w:t>
      </w:r>
    </w:p>
    <w:p w14:paraId="0902FBEA" w14:textId="77777777" w:rsidR="00E36D0B" w:rsidRDefault="0041021E" w:rsidP="0041021E">
      <w:pPr>
        <w:widowControl w:val="0"/>
        <w:suppressAutoHyphens/>
        <w:ind w:firstLine="709"/>
        <w:jc w:val="both"/>
        <w:rPr>
          <w:lang w:eastAsia="lt-LT"/>
        </w:rPr>
      </w:pPr>
      <w:r>
        <w:rPr>
          <w:lang w:eastAsia="lt-LT"/>
        </w:rPr>
        <w:t>5.7</w:t>
      </w:r>
      <w:r>
        <w:rPr>
          <w:lang w:eastAsia="lt-LT"/>
        </w:rPr>
        <w:t xml:space="preserve">. Lietuvos higienos normą HN 98:2014 „Natūralus ir dirbtinis darbo vietų apšvietimas. </w:t>
      </w:r>
      <w:proofErr w:type="spellStart"/>
      <w:r>
        <w:rPr>
          <w:lang w:eastAsia="lt-LT"/>
        </w:rPr>
        <w:t>Apšvietos</w:t>
      </w:r>
      <w:proofErr w:type="spellEnd"/>
      <w:r>
        <w:rPr>
          <w:lang w:eastAsia="lt-LT"/>
        </w:rPr>
        <w:t xml:space="preserve"> mažiausios ribinės vertės ir bendrieji mata</w:t>
      </w:r>
      <w:r>
        <w:rPr>
          <w:lang w:eastAsia="lt-LT"/>
        </w:rPr>
        <w:t xml:space="preserve">vimo reikalavimai“, patvirtintą  Lietuvos </w:t>
      </w:r>
      <w:r>
        <w:rPr>
          <w:lang w:eastAsia="lt-LT"/>
        </w:rPr>
        <w:lastRenderedPageBreak/>
        <w:t xml:space="preserve">Respublikos sveikatos apsaugos ministro 2000 m. gegužės 24 d. įsakymu Nr. 277 „Dėl Lietuvos higienos normos HN 98:2014 „Natūralus ir dirbtinis darbo vietų apšvietimas. </w:t>
      </w:r>
      <w:proofErr w:type="spellStart"/>
      <w:r>
        <w:rPr>
          <w:lang w:eastAsia="lt-LT"/>
        </w:rPr>
        <w:t>Apšvietos</w:t>
      </w:r>
      <w:proofErr w:type="spellEnd"/>
      <w:r>
        <w:rPr>
          <w:lang w:eastAsia="lt-LT"/>
        </w:rPr>
        <w:t xml:space="preserve"> mažiausios ribinės vertės ir bendrie</w:t>
      </w:r>
      <w:r>
        <w:rPr>
          <w:lang w:eastAsia="lt-LT"/>
        </w:rPr>
        <w:t xml:space="preserve">ji matavimo reikalavimai“; </w:t>
      </w:r>
    </w:p>
    <w:p w14:paraId="0902FBEB" w14:textId="77777777" w:rsidR="00E36D0B" w:rsidRDefault="0041021E" w:rsidP="0041021E">
      <w:pPr>
        <w:suppressAutoHyphens/>
        <w:ind w:firstLine="709"/>
        <w:jc w:val="both"/>
        <w:rPr>
          <w:lang w:eastAsia="lt-LT"/>
        </w:rPr>
      </w:pPr>
      <w:r>
        <w:rPr>
          <w:lang w:eastAsia="lt-LT"/>
        </w:rPr>
        <w:t>5.8</w:t>
      </w:r>
      <w:r>
        <w:rPr>
          <w:lang w:eastAsia="lt-LT"/>
        </w:rPr>
        <w:t xml:space="preserve">. Kelių eismo taisykles, patvirtintas Lietuvos Respublikos Vyriausybės 2002 m. gruodžio 11 d. nutarimu Nr. 1950 „Dėl kelių eismo taisyklių patvirtinimo“; </w:t>
      </w:r>
    </w:p>
    <w:p w14:paraId="0902FBEC" w14:textId="77777777" w:rsidR="00E36D0B" w:rsidRDefault="0041021E" w:rsidP="0041021E">
      <w:pPr>
        <w:widowControl w:val="0"/>
        <w:suppressAutoHyphens/>
        <w:ind w:firstLine="709"/>
        <w:jc w:val="both"/>
        <w:rPr>
          <w:lang w:eastAsia="lt-LT"/>
        </w:rPr>
      </w:pPr>
      <w:r>
        <w:rPr>
          <w:lang w:eastAsia="lt-LT"/>
        </w:rPr>
        <w:t>5.9</w:t>
      </w:r>
      <w:r>
        <w:rPr>
          <w:lang w:eastAsia="lt-LT"/>
        </w:rPr>
        <w:t>. 2014 m. lapkričio 18 d. Komisijos reglamentą (ES) Nr. 130</w:t>
      </w:r>
      <w:r>
        <w:rPr>
          <w:lang w:eastAsia="lt-LT"/>
        </w:rPr>
        <w:t xml:space="preserve">0/2014 dėl Sąjungos geležinkelių sistemos prieinamumo neįgaliesiems ir riboto </w:t>
      </w:r>
      <w:proofErr w:type="spellStart"/>
      <w:r>
        <w:rPr>
          <w:lang w:eastAsia="lt-LT"/>
        </w:rPr>
        <w:t>judumo</w:t>
      </w:r>
      <w:proofErr w:type="spellEnd"/>
      <w:r>
        <w:rPr>
          <w:lang w:eastAsia="lt-LT"/>
        </w:rPr>
        <w:t xml:space="preserve"> asmenims techninių sąveikos specifikacijų (OL 2014 L 356, p. 110);</w:t>
      </w:r>
    </w:p>
    <w:p w14:paraId="0902FBED" w14:textId="77777777" w:rsidR="00E36D0B" w:rsidRDefault="0041021E" w:rsidP="0041021E">
      <w:pPr>
        <w:widowControl w:val="0"/>
        <w:suppressAutoHyphens/>
        <w:ind w:firstLine="709"/>
        <w:jc w:val="both"/>
        <w:rPr>
          <w:lang w:eastAsia="lt-LT"/>
        </w:rPr>
      </w:pPr>
      <w:r>
        <w:rPr>
          <w:lang w:eastAsia="lt-LT"/>
        </w:rPr>
        <w:t>5.10</w:t>
      </w:r>
      <w:r>
        <w:rPr>
          <w:lang w:eastAsia="lt-LT"/>
        </w:rPr>
        <w:t xml:space="preserve">. tarptautinį standartą ISO 21542:2011 „Pastatų statyba. Užstatytos aplinkos prieinamumas ir </w:t>
      </w:r>
      <w:proofErr w:type="spellStart"/>
      <w:r>
        <w:rPr>
          <w:lang w:eastAsia="lt-LT"/>
        </w:rPr>
        <w:t>nau</w:t>
      </w:r>
      <w:r>
        <w:rPr>
          <w:lang w:eastAsia="lt-LT"/>
        </w:rPr>
        <w:t>dojamumas</w:t>
      </w:r>
      <w:proofErr w:type="spellEnd"/>
      <w:r>
        <w:rPr>
          <w:lang w:eastAsia="lt-LT"/>
        </w:rPr>
        <w:t>“;</w:t>
      </w:r>
    </w:p>
    <w:p w14:paraId="0902FBEE" w14:textId="77777777" w:rsidR="00E36D0B" w:rsidRDefault="0041021E" w:rsidP="0041021E">
      <w:pPr>
        <w:widowControl w:val="0"/>
        <w:suppressAutoHyphens/>
        <w:ind w:firstLine="709"/>
        <w:jc w:val="both"/>
        <w:rPr>
          <w:lang w:eastAsia="lt-LT"/>
        </w:rPr>
      </w:pPr>
      <w:r>
        <w:rPr>
          <w:lang w:eastAsia="lt-LT"/>
        </w:rPr>
        <w:t>5.11</w:t>
      </w:r>
      <w:r>
        <w:rPr>
          <w:lang w:eastAsia="lt-LT"/>
        </w:rPr>
        <w:t xml:space="preserve">. tarptautinį standartą ISO 23599:2012 „Pagalbinės priemonės neregiams ir silpnaregiams. </w:t>
      </w:r>
      <w:proofErr w:type="spellStart"/>
      <w:r>
        <w:rPr>
          <w:lang w:eastAsia="lt-LT"/>
        </w:rPr>
        <w:t>Taktiliniai</w:t>
      </w:r>
      <w:proofErr w:type="spellEnd"/>
      <w:r>
        <w:rPr>
          <w:lang w:eastAsia="lt-LT"/>
        </w:rPr>
        <w:t xml:space="preserve"> vaikščiojamojo paviršiaus indikatoriai“;</w:t>
      </w:r>
    </w:p>
    <w:p w14:paraId="0902FBEF" w14:textId="77777777" w:rsidR="00E36D0B" w:rsidRDefault="0041021E" w:rsidP="0041021E">
      <w:pPr>
        <w:widowControl w:val="0"/>
        <w:suppressAutoHyphens/>
        <w:ind w:firstLine="709"/>
        <w:jc w:val="both"/>
        <w:rPr>
          <w:lang w:eastAsia="lt-LT"/>
        </w:rPr>
      </w:pPr>
      <w:r>
        <w:rPr>
          <w:lang w:eastAsia="lt-LT"/>
        </w:rPr>
        <w:t>5.12</w:t>
      </w:r>
      <w:r>
        <w:rPr>
          <w:lang w:eastAsia="lt-LT"/>
        </w:rPr>
        <w:t>. Lietuvos standartą LST EN 81-41:2010 „Liftų konstravimo ir įrengimo saugos taisyklės</w:t>
      </w:r>
      <w:r>
        <w:rPr>
          <w:lang w:eastAsia="lt-LT"/>
        </w:rPr>
        <w:t xml:space="preserve">. Specialieji keleiviniai ir krovininiai liftai. 41 dalis. Sumažėjusio </w:t>
      </w:r>
      <w:proofErr w:type="spellStart"/>
      <w:r>
        <w:rPr>
          <w:lang w:eastAsia="lt-LT"/>
        </w:rPr>
        <w:t>judumo</w:t>
      </w:r>
      <w:proofErr w:type="spellEnd"/>
      <w:r>
        <w:rPr>
          <w:lang w:eastAsia="lt-LT"/>
        </w:rPr>
        <w:t xml:space="preserve"> asmenims naudoti skirtos vertikaliojo kėlimo platformos“;</w:t>
      </w:r>
    </w:p>
    <w:p w14:paraId="0902FBF0" w14:textId="77777777" w:rsidR="00E36D0B" w:rsidRDefault="0041021E" w:rsidP="0041021E">
      <w:pPr>
        <w:widowControl w:val="0"/>
        <w:suppressAutoHyphens/>
        <w:ind w:firstLine="709"/>
        <w:jc w:val="both"/>
        <w:rPr>
          <w:lang w:eastAsia="lt-LT"/>
        </w:rPr>
      </w:pPr>
      <w:r>
        <w:rPr>
          <w:lang w:eastAsia="lt-LT"/>
        </w:rPr>
        <w:t>5.13</w:t>
      </w:r>
      <w:r>
        <w:rPr>
          <w:lang w:eastAsia="lt-LT"/>
        </w:rPr>
        <w:t>. Lietuvos standartą LST EN 81-70:2018 „Liftų konstravimo ir įrengimo saugos taisyklės. Specialusis keleivinių i</w:t>
      </w:r>
      <w:r>
        <w:rPr>
          <w:lang w:eastAsia="lt-LT"/>
        </w:rPr>
        <w:t>r krovininių–keleivinių liftų pritaikymas. 70 dalis. Liftų prieinamumas asmenims, įskaitant neįgaliuosius“.</w:t>
      </w:r>
    </w:p>
    <w:p w14:paraId="0902FBF1" w14:textId="77777777" w:rsidR="00E36D0B" w:rsidRDefault="0041021E"/>
    <w:p w14:paraId="0902FBF2" w14:textId="77777777" w:rsidR="00E36D0B" w:rsidRDefault="0041021E">
      <w:pPr>
        <w:suppressAutoHyphens/>
        <w:jc w:val="center"/>
        <w:rPr>
          <w:b/>
          <w:lang w:eastAsia="lt-LT"/>
        </w:rPr>
      </w:pPr>
      <w:r>
        <w:rPr>
          <w:b/>
          <w:lang w:eastAsia="lt-LT"/>
        </w:rPr>
        <w:t>III</w:t>
      </w:r>
      <w:r>
        <w:rPr>
          <w:b/>
          <w:lang w:eastAsia="lt-LT"/>
        </w:rPr>
        <w:t xml:space="preserve"> SKYRIUS</w:t>
      </w:r>
    </w:p>
    <w:p w14:paraId="0902FBF3" w14:textId="77777777" w:rsidR="00E36D0B" w:rsidRDefault="0041021E">
      <w:pPr>
        <w:suppressAutoHyphens/>
        <w:jc w:val="center"/>
        <w:rPr>
          <w:b/>
          <w:lang w:eastAsia="lt-LT"/>
        </w:rPr>
      </w:pPr>
      <w:r>
        <w:rPr>
          <w:b/>
          <w:lang w:eastAsia="lt-LT"/>
        </w:rPr>
        <w:t>PAGRINDINĖS SĄVOKOS</w:t>
      </w:r>
    </w:p>
    <w:p w14:paraId="0902FBF4" w14:textId="77777777" w:rsidR="00E36D0B" w:rsidRDefault="00E36D0B">
      <w:pPr>
        <w:suppressAutoHyphens/>
        <w:rPr>
          <w:b/>
          <w:lang w:eastAsia="lt-LT"/>
        </w:rPr>
      </w:pPr>
    </w:p>
    <w:p w14:paraId="0902FBF5" w14:textId="77777777" w:rsidR="00E36D0B" w:rsidRDefault="0041021E" w:rsidP="0041021E">
      <w:pPr>
        <w:suppressAutoHyphens/>
        <w:ind w:firstLine="709"/>
        <w:jc w:val="both"/>
        <w:rPr>
          <w:lang w:eastAsia="lt-LT"/>
        </w:rPr>
      </w:pPr>
      <w:r>
        <w:rPr>
          <w:lang w:eastAsia="lt-LT"/>
        </w:rPr>
        <w:t>6</w:t>
      </w:r>
      <w:r>
        <w:rPr>
          <w:lang w:eastAsia="lt-LT"/>
        </w:rPr>
        <w:t xml:space="preserve">. Reglamente vartojamos sąvokos atitinka jų apibrėžimus, pateiktus Lietuvos Respublikos neįgaliųjų </w:t>
      </w:r>
      <w:r>
        <w:rPr>
          <w:lang w:eastAsia="lt-LT"/>
        </w:rPr>
        <w:t>socialinės integracijos įstatyme [5.1], Lietuvos Respublikos statybos įstatyme [5.2], Lietuvos Respublikos saugaus eismo automobilių keliais įstatyme [5.3], tarptautiniame standarte ISO 21542:2011 [5.10]. Kitos šiame Reglamente vartojamos sąvokos:</w:t>
      </w:r>
    </w:p>
    <w:p w14:paraId="0902FBF6" w14:textId="77777777" w:rsidR="00E36D0B" w:rsidRDefault="0041021E" w:rsidP="0041021E">
      <w:pPr>
        <w:suppressAutoHyphens/>
        <w:ind w:firstLine="709"/>
        <w:jc w:val="both"/>
        <w:rPr>
          <w:lang w:eastAsia="lt-LT"/>
        </w:rPr>
      </w:pPr>
      <w:r>
        <w:rPr>
          <w:highlight w:val="white"/>
          <w:lang w:eastAsia="lt-LT"/>
        </w:rPr>
        <w:t>6.1</w:t>
      </w:r>
      <w:r>
        <w:rPr>
          <w:highlight w:val="white"/>
          <w:lang w:eastAsia="lt-LT"/>
        </w:rPr>
        <w:t>.</w:t>
      </w:r>
      <w:r>
        <w:rPr>
          <w:b/>
          <w:highlight w:val="white"/>
          <w:lang w:eastAsia="lt-LT"/>
        </w:rPr>
        <w:t xml:space="preserve"> </w:t>
      </w:r>
      <w:proofErr w:type="spellStart"/>
      <w:r>
        <w:rPr>
          <w:b/>
          <w:highlight w:val="white"/>
          <w:lang w:eastAsia="lt-LT"/>
        </w:rPr>
        <w:t>n</w:t>
      </w:r>
      <w:r>
        <w:rPr>
          <w:b/>
          <w:highlight w:val="white"/>
          <w:lang w:eastAsia="lt-LT"/>
        </w:rPr>
        <w:t>uožulna</w:t>
      </w:r>
      <w:proofErr w:type="spellEnd"/>
      <w:r>
        <w:rPr>
          <w:b/>
          <w:highlight w:val="white"/>
          <w:lang w:eastAsia="lt-LT"/>
        </w:rPr>
        <w:t xml:space="preserve"> (pandusas arba rampa)</w:t>
      </w:r>
      <w:r>
        <w:rPr>
          <w:highlight w:val="white"/>
          <w:lang w:eastAsia="lt-LT"/>
        </w:rPr>
        <w:t xml:space="preserve"> –</w:t>
      </w:r>
      <w:r>
        <w:rPr>
          <w:lang w:eastAsia="lt-LT"/>
        </w:rPr>
        <w:t xml:space="preserve"> nuožulni plokštuma, skirta aukščių skirtumams įveikti pėsčiomis, judant vežimėliu ar kitomis pagalbinėmis judėjimo priemonėmis;</w:t>
      </w:r>
    </w:p>
    <w:p w14:paraId="0902FBF7" w14:textId="77777777" w:rsidR="00E36D0B" w:rsidRDefault="0041021E" w:rsidP="0041021E">
      <w:pPr>
        <w:suppressAutoHyphens/>
        <w:ind w:firstLine="709"/>
        <w:jc w:val="both"/>
        <w:rPr>
          <w:lang w:eastAsia="lt-LT"/>
        </w:rPr>
      </w:pPr>
      <w:r>
        <w:rPr>
          <w:lang w:eastAsia="lt-LT"/>
        </w:rPr>
        <w:t>6.2</w:t>
      </w:r>
      <w:r>
        <w:rPr>
          <w:lang w:eastAsia="lt-LT"/>
        </w:rPr>
        <w:t>.</w:t>
      </w:r>
      <w:r>
        <w:rPr>
          <w:b/>
          <w:lang w:eastAsia="lt-LT"/>
        </w:rPr>
        <w:t xml:space="preserve"> riboto </w:t>
      </w:r>
      <w:proofErr w:type="spellStart"/>
      <w:r>
        <w:rPr>
          <w:b/>
          <w:lang w:eastAsia="lt-LT"/>
        </w:rPr>
        <w:t>judumo</w:t>
      </w:r>
      <w:proofErr w:type="spellEnd"/>
      <w:r>
        <w:rPr>
          <w:b/>
          <w:lang w:eastAsia="lt-LT"/>
        </w:rPr>
        <w:t xml:space="preserve"> asmuo</w:t>
      </w:r>
      <w:r>
        <w:rPr>
          <w:lang w:eastAsia="lt-LT"/>
        </w:rPr>
        <w:t xml:space="preserve"> – asmuo, kuris dėl sutrikusių kūno funkcijų ar kitų priežasčių gali</w:t>
      </w:r>
      <w:r>
        <w:rPr>
          <w:lang w:eastAsia="lt-LT"/>
        </w:rPr>
        <w:t xml:space="preserve"> tik ribotai savarankiškai judėti ir naudotis jo poreikiams nepritaikyta fizine aplinka;</w:t>
      </w:r>
    </w:p>
    <w:p w14:paraId="0902FBF8" w14:textId="77777777" w:rsidR="00E36D0B" w:rsidRDefault="0041021E" w:rsidP="0041021E">
      <w:pPr>
        <w:suppressAutoHyphens/>
        <w:ind w:firstLine="709"/>
        <w:jc w:val="both"/>
        <w:rPr>
          <w:lang w:eastAsia="lt-LT"/>
        </w:rPr>
      </w:pPr>
      <w:r>
        <w:rPr>
          <w:lang w:eastAsia="lt-LT"/>
        </w:rPr>
        <w:t>6.3</w:t>
      </w:r>
      <w:r>
        <w:rPr>
          <w:lang w:eastAsia="lt-LT"/>
        </w:rPr>
        <w:t xml:space="preserve">. </w:t>
      </w:r>
      <w:r>
        <w:rPr>
          <w:b/>
          <w:lang w:eastAsia="lt-LT"/>
        </w:rPr>
        <w:t>prieinama judėjimo trasa</w:t>
      </w:r>
      <w:r>
        <w:rPr>
          <w:lang w:eastAsia="lt-LT"/>
        </w:rPr>
        <w:t xml:space="preserve"> – visiems asmenims judėti tinkama aplinkos ir statinių objektus jungianti pėsčiųjų judėjimo erdvė;</w:t>
      </w:r>
    </w:p>
    <w:p w14:paraId="0902FBF9" w14:textId="77777777" w:rsidR="00E36D0B" w:rsidRDefault="0041021E" w:rsidP="0041021E">
      <w:pPr>
        <w:suppressAutoHyphens/>
        <w:ind w:firstLine="709"/>
        <w:jc w:val="both"/>
        <w:rPr>
          <w:lang w:eastAsia="lt-LT"/>
        </w:rPr>
      </w:pPr>
      <w:r>
        <w:rPr>
          <w:lang w:eastAsia="lt-LT"/>
        </w:rPr>
        <w:t>6.4</w:t>
      </w:r>
      <w:r>
        <w:rPr>
          <w:lang w:eastAsia="lt-LT"/>
        </w:rPr>
        <w:t>.</w:t>
      </w:r>
      <w:r>
        <w:rPr>
          <w:b/>
          <w:lang w:eastAsia="lt-LT"/>
        </w:rPr>
        <w:t xml:space="preserve"> neįgaliųjų automobilių st</w:t>
      </w:r>
      <w:r>
        <w:rPr>
          <w:b/>
          <w:lang w:eastAsia="lt-LT"/>
        </w:rPr>
        <w:t>ovėjimo vieta</w:t>
      </w:r>
      <w:r>
        <w:rPr>
          <w:rFonts w:ascii="Palemonas" w:hAnsi="Palemonas" w:cs="Palemonas"/>
          <w:b/>
          <w:sz w:val="22"/>
          <w:szCs w:val="22"/>
          <w:lang w:eastAsia="lt-LT"/>
        </w:rPr>
        <w:t xml:space="preserve"> </w:t>
      </w:r>
      <w:r>
        <w:rPr>
          <w:lang w:eastAsia="lt-LT"/>
        </w:rPr>
        <w:t>– pagal teisės aktų reikalavimus įrengta ir ženklu „Neįgalieji“ paženklinta [5.8] negalią turintiems asmenims tinkama automobilių stovėjimo vieta, iki kurios yra tokiems asmenims pritaikyta judėjimo trasa;</w:t>
      </w:r>
    </w:p>
    <w:p w14:paraId="0902FBFA" w14:textId="77777777" w:rsidR="00E36D0B" w:rsidRDefault="0041021E" w:rsidP="0041021E">
      <w:pPr>
        <w:suppressAutoHyphens/>
        <w:ind w:firstLine="709"/>
        <w:jc w:val="both"/>
        <w:rPr>
          <w:lang w:eastAsia="lt-LT"/>
        </w:rPr>
      </w:pPr>
      <w:r>
        <w:rPr>
          <w:lang w:eastAsia="lt-LT"/>
        </w:rPr>
        <w:t>6.5</w:t>
      </w:r>
      <w:r>
        <w:rPr>
          <w:lang w:eastAsia="lt-LT"/>
        </w:rPr>
        <w:t>.</w:t>
      </w:r>
      <w:r>
        <w:rPr>
          <w:b/>
          <w:lang w:eastAsia="lt-LT"/>
        </w:rPr>
        <w:t xml:space="preserve"> turėklas (ranktūris)</w:t>
      </w:r>
      <w:r>
        <w:rPr>
          <w:lang w:eastAsia="lt-LT"/>
        </w:rPr>
        <w:t xml:space="preserve"> – prie</w:t>
      </w:r>
      <w:r>
        <w:rPr>
          <w:lang w:eastAsia="lt-LT"/>
        </w:rPr>
        <w:t xml:space="preserve"> sienos ar (ir) grindų tvirtinamas horizontalus ar vertikalus (atsižvelgiant į įrengimo vietą, stabilus ar atlenkiamas arba pasukamas) įtaisas, skirtas įsitverti rankomis, atsiremti ar pasilaikyti.</w:t>
      </w:r>
    </w:p>
    <w:p w14:paraId="0902FBFB" w14:textId="77777777" w:rsidR="00E36D0B" w:rsidRDefault="0041021E">
      <w:pPr>
        <w:pBdr>
          <w:top w:val="nil"/>
          <w:left w:val="nil"/>
          <w:bottom w:val="nil"/>
          <w:right w:val="nil"/>
          <w:between w:val="nil"/>
        </w:pBdr>
        <w:suppressAutoHyphens/>
        <w:ind w:firstLine="709"/>
        <w:rPr>
          <w:lang w:eastAsia="lt-LT"/>
        </w:rPr>
      </w:pPr>
    </w:p>
    <w:p w14:paraId="0902FBFC" w14:textId="77777777" w:rsidR="00E36D0B" w:rsidRDefault="0041021E">
      <w:pPr>
        <w:suppressAutoHyphens/>
        <w:jc w:val="center"/>
        <w:rPr>
          <w:b/>
          <w:lang w:eastAsia="lt-LT"/>
        </w:rPr>
      </w:pPr>
      <w:r>
        <w:rPr>
          <w:b/>
          <w:lang w:eastAsia="lt-LT"/>
        </w:rPr>
        <w:t>IV</w:t>
      </w:r>
      <w:r>
        <w:rPr>
          <w:b/>
          <w:lang w:eastAsia="lt-LT"/>
        </w:rPr>
        <w:t xml:space="preserve"> SKYRIUS</w:t>
      </w:r>
    </w:p>
    <w:p w14:paraId="0902FBFD" w14:textId="77777777" w:rsidR="00E36D0B" w:rsidRDefault="0041021E">
      <w:pPr>
        <w:suppressAutoHyphens/>
        <w:jc w:val="center"/>
        <w:rPr>
          <w:b/>
          <w:caps/>
          <w:lang w:eastAsia="lt-LT"/>
        </w:rPr>
      </w:pPr>
      <w:r>
        <w:rPr>
          <w:b/>
          <w:caps/>
          <w:lang w:eastAsia="lt-LT"/>
        </w:rPr>
        <w:t>Neįgaliųjų automobilių stovėjimo vieta</w:t>
      </w:r>
    </w:p>
    <w:p w14:paraId="0902FBFE" w14:textId="77777777" w:rsidR="00E36D0B" w:rsidRDefault="00E36D0B">
      <w:pPr>
        <w:suppressAutoHyphens/>
        <w:jc w:val="center"/>
        <w:rPr>
          <w:b/>
          <w:lang w:eastAsia="lt-LT"/>
        </w:rPr>
      </w:pPr>
    </w:p>
    <w:p w14:paraId="0902FBFF" w14:textId="77777777" w:rsidR="00E36D0B" w:rsidRDefault="0041021E" w:rsidP="0041021E">
      <w:pPr>
        <w:suppressAutoHyphens/>
        <w:ind w:firstLine="709"/>
        <w:jc w:val="both"/>
        <w:rPr>
          <w:lang w:eastAsia="lt-LT"/>
        </w:rPr>
      </w:pPr>
      <w:r>
        <w:rPr>
          <w:lang w:eastAsia="lt-LT"/>
        </w:rPr>
        <w:t>7</w:t>
      </w:r>
      <w:r>
        <w:rPr>
          <w:lang w:eastAsia="lt-LT"/>
        </w:rPr>
        <w:t>. Neįgaliųjų automobilių stovėjimo vietos įrengiamos arčiausiai įėjimų į pastatą ne didesniu kaip 50 m atstumu. Kai to pasiekti negalima, ne didesniu kaip 30 m atstumu nuo įėjimų į objektą turi būti įrengtos ne siauresnės kaip 3 600 mm ir ne trumpes</w:t>
      </w:r>
      <w:r>
        <w:rPr>
          <w:lang w:eastAsia="lt-LT"/>
        </w:rPr>
        <w:t xml:space="preserve">nės kaip 9 000 mm išlaipinimo aikštelės šalia gatvės ar privažiavimo važiuojamosios dalies su </w:t>
      </w:r>
      <w:proofErr w:type="spellStart"/>
      <w:r>
        <w:rPr>
          <w:lang w:eastAsia="lt-LT"/>
        </w:rPr>
        <w:t>bortelio</w:t>
      </w:r>
      <w:proofErr w:type="spellEnd"/>
      <w:r>
        <w:rPr>
          <w:lang w:eastAsia="lt-LT"/>
        </w:rPr>
        <w:t xml:space="preserve"> rampa.</w:t>
      </w:r>
    </w:p>
    <w:p w14:paraId="0902FC00" w14:textId="77777777" w:rsidR="00E36D0B" w:rsidRDefault="0041021E" w:rsidP="0041021E">
      <w:pPr>
        <w:suppressAutoHyphens/>
        <w:ind w:firstLine="709"/>
        <w:jc w:val="both"/>
        <w:rPr>
          <w:lang w:eastAsia="lt-LT"/>
        </w:rPr>
      </w:pPr>
      <w:r>
        <w:rPr>
          <w:lang w:eastAsia="lt-LT"/>
        </w:rPr>
        <w:t>8</w:t>
      </w:r>
      <w:r>
        <w:rPr>
          <w:lang w:eastAsia="lt-LT"/>
        </w:rPr>
        <w:t>. Neįgaliųjų automobilių stovėjimo vietos turi jungtis su prieinama judėjimo trasa, įrengta pagal ISO 21542:2011 7 skyriaus [5.10] reikalavim</w:t>
      </w:r>
      <w:r>
        <w:rPr>
          <w:lang w:eastAsia="lt-LT"/>
        </w:rPr>
        <w:t>us. Gyvenamosiose vietovėse neįgaliųjų automobilių stovėjimo vietos tamsiu paros metu turi būti apšviestos [5.7].</w:t>
      </w:r>
    </w:p>
    <w:p w14:paraId="0902FC01" w14:textId="77777777" w:rsidR="00E36D0B" w:rsidRDefault="0041021E" w:rsidP="0041021E">
      <w:pPr>
        <w:suppressAutoHyphens/>
        <w:ind w:firstLine="709"/>
        <w:jc w:val="both"/>
        <w:rPr>
          <w:lang w:eastAsia="lt-LT"/>
        </w:rPr>
      </w:pPr>
      <w:r>
        <w:rPr>
          <w:lang w:eastAsia="lt-LT"/>
        </w:rPr>
        <w:t>9</w:t>
      </w:r>
      <w:r>
        <w:rPr>
          <w:lang w:eastAsia="lt-LT"/>
        </w:rPr>
        <w:t>. Neįgaliųjų automobilių stovėjimo vietose išilginis arba skersinis dangos nuolydis negali būti didesnis kaip 1:50 (2 proc.).</w:t>
      </w:r>
    </w:p>
    <w:p w14:paraId="0902FC02" w14:textId="77777777" w:rsidR="00E36D0B" w:rsidRDefault="0041021E" w:rsidP="0041021E">
      <w:pPr>
        <w:suppressAutoHyphens/>
        <w:ind w:firstLine="709"/>
        <w:jc w:val="both"/>
        <w:rPr>
          <w:lang w:eastAsia="lt-LT"/>
        </w:rPr>
      </w:pPr>
      <w:r>
        <w:rPr>
          <w:lang w:eastAsia="lt-LT"/>
        </w:rPr>
        <w:t>10</w:t>
      </w:r>
      <w:r>
        <w:rPr>
          <w:lang w:eastAsia="lt-LT"/>
        </w:rPr>
        <w:t xml:space="preserve">. </w:t>
      </w:r>
      <w:r>
        <w:rPr>
          <w:lang w:eastAsia="lt-LT"/>
        </w:rPr>
        <w:t>Lygių skirtumas tarp neįgaliųjų automobilių stovėjimo vietų ir joms skirtų išlipimo aikštelių draudžiamas.</w:t>
      </w:r>
    </w:p>
    <w:p w14:paraId="0902FC03" w14:textId="77777777" w:rsidR="00E36D0B" w:rsidRDefault="0041021E" w:rsidP="0041021E">
      <w:pPr>
        <w:suppressAutoHyphens/>
        <w:ind w:firstLine="709"/>
        <w:jc w:val="both"/>
        <w:rPr>
          <w:lang w:eastAsia="lt-LT"/>
        </w:rPr>
      </w:pPr>
      <w:r>
        <w:rPr>
          <w:highlight w:val="white"/>
          <w:lang w:eastAsia="lt-LT"/>
        </w:rPr>
        <w:t>11</w:t>
      </w:r>
      <w:r>
        <w:rPr>
          <w:highlight w:val="white"/>
          <w:lang w:eastAsia="lt-LT"/>
        </w:rPr>
        <w:t xml:space="preserve">. </w:t>
      </w:r>
      <w:proofErr w:type="spellStart"/>
      <w:r>
        <w:rPr>
          <w:highlight w:val="white"/>
          <w:lang w:eastAsia="lt-LT"/>
        </w:rPr>
        <w:t>Bortelio</w:t>
      </w:r>
      <w:proofErr w:type="spellEnd"/>
      <w:r>
        <w:rPr>
          <w:highlight w:val="white"/>
          <w:lang w:eastAsia="lt-LT"/>
        </w:rPr>
        <w:t xml:space="preserve"> </w:t>
      </w:r>
      <w:proofErr w:type="spellStart"/>
      <w:r>
        <w:rPr>
          <w:highlight w:val="white"/>
          <w:lang w:eastAsia="lt-LT"/>
        </w:rPr>
        <w:t>nuožulna</w:t>
      </w:r>
      <w:proofErr w:type="spellEnd"/>
      <w:r>
        <w:rPr>
          <w:highlight w:val="white"/>
          <w:lang w:eastAsia="lt-LT"/>
        </w:rPr>
        <w:t xml:space="preserve"> (rampa) (reglamente suprantama kaip ISO 21542:2011 3.36 papunktyje [5.10] apibrėžta sąvoka)</w:t>
      </w:r>
      <w:r>
        <w:rPr>
          <w:lang w:eastAsia="lt-LT"/>
        </w:rPr>
        <w:t xml:space="preserve"> nuo stovėjimo vietos iki gretim</w:t>
      </w:r>
      <w:r>
        <w:rPr>
          <w:lang w:eastAsia="lt-LT"/>
        </w:rPr>
        <w:t>o aukštesnio pėsčiųjų tako (prieinamos trasos) įrengiama pagal ISO 21542:2011 6.7 papunktį [5.10].</w:t>
      </w:r>
    </w:p>
    <w:p w14:paraId="0902FC04" w14:textId="77777777" w:rsidR="00E36D0B" w:rsidRDefault="0041021E" w:rsidP="0041021E">
      <w:pPr>
        <w:suppressAutoHyphens/>
        <w:ind w:firstLine="709"/>
        <w:jc w:val="both"/>
        <w:rPr>
          <w:lang w:eastAsia="lt-LT"/>
        </w:rPr>
      </w:pPr>
      <w:r>
        <w:rPr>
          <w:lang w:eastAsia="lt-LT"/>
        </w:rPr>
        <w:t>12</w:t>
      </w:r>
      <w:r>
        <w:rPr>
          <w:lang w:eastAsia="lt-LT"/>
        </w:rPr>
        <w:t>. Kai įvažiavimas į neįgaliųjų automobilių stovėjimo vietas ir automobilių saugyklas kontroliuojamas pakeliama ar kitokia užtvara, privalo būti užtikri</w:t>
      </w:r>
      <w:r>
        <w:rPr>
          <w:lang w:eastAsia="lt-LT"/>
        </w:rPr>
        <w:t xml:space="preserve">nta prieinama trasa riboto </w:t>
      </w:r>
      <w:proofErr w:type="spellStart"/>
      <w:r>
        <w:rPr>
          <w:lang w:eastAsia="lt-LT"/>
        </w:rPr>
        <w:t>judumo</w:t>
      </w:r>
      <w:proofErr w:type="spellEnd"/>
      <w:r>
        <w:rPr>
          <w:lang w:eastAsia="lt-LT"/>
        </w:rPr>
        <w:t xml:space="preserve"> asmenims pasiekti įėjimą į objektą, keleivinį liftą ar </w:t>
      </w:r>
      <w:proofErr w:type="spellStart"/>
      <w:r>
        <w:rPr>
          <w:lang w:eastAsia="lt-LT"/>
        </w:rPr>
        <w:t>nuožulną</w:t>
      </w:r>
      <w:proofErr w:type="spellEnd"/>
      <w:r>
        <w:rPr>
          <w:lang w:eastAsia="lt-LT"/>
        </w:rPr>
        <w:t xml:space="preserve"> (pandusą arba rampą) (toliau - </w:t>
      </w:r>
      <w:proofErr w:type="spellStart"/>
      <w:r>
        <w:rPr>
          <w:lang w:eastAsia="lt-LT"/>
        </w:rPr>
        <w:t>nuožulna</w:t>
      </w:r>
      <w:proofErr w:type="spellEnd"/>
      <w:r>
        <w:rPr>
          <w:lang w:eastAsia="lt-LT"/>
        </w:rPr>
        <w:t xml:space="preserve">). </w:t>
      </w:r>
    </w:p>
    <w:p w14:paraId="0902FC05" w14:textId="77777777" w:rsidR="00E36D0B" w:rsidRDefault="0041021E" w:rsidP="0041021E">
      <w:pPr>
        <w:suppressAutoHyphens/>
        <w:ind w:firstLine="709"/>
        <w:jc w:val="both"/>
        <w:rPr>
          <w:lang w:eastAsia="lt-LT"/>
        </w:rPr>
      </w:pPr>
      <w:r>
        <w:rPr>
          <w:lang w:eastAsia="lt-LT"/>
        </w:rPr>
        <w:t>13</w:t>
      </w:r>
      <w:r>
        <w:rPr>
          <w:lang w:eastAsia="lt-LT"/>
        </w:rPr>
        <w:t>. Neįgaliųjų automobilių stovėjimo vietų išlipimo aikštelėse negali būti įrengiami ar paliekami jokie trukdan</w:t>
      </w:r>
      <w:r>
        <w:rPr>
          <w:lang w:eastAsia="lt-LT"/>
        </w:rPr>
        <w:t>tys objektai (aptvarai, sienelės, medžiai, kelio ženklai, šviestuvų atramos ir pan.).</w:t>
      </w:r>
    </w:p>
    <w:p w14:paraId="0902FC06" w14:textId="77777777" w:rsidR="00E36D0B" w:rsidRDefault="0041021E" w:rsidP="0041021E">
      <w:pPr>
        <w:suppressAutoHyphens/>
        <w:ind w:firstLine="709"/>
        <w:jc w:val="both"/>
        <w:rPr>
          <w:lang w:eastAsia="lt-LT"/>
        </w:rPr>
      </w:pPr>
      <w:r>
        <w:rPr>
          <w:lang w:eastAsia="lt-LT"/>
        </w:rPr>
        <w:t>14</w:t>
      </w:r>
      <w:r>
        <w:rPr>
          <w:lang w:eastAsia="lt-LT"/>
        </w:rPr>
        <w:t>. Neįgaliųjų automobilių stovėjimo vietos skirstomos į du tipus A ir B:</w:t>
      </w:r>
    </w:p>
    <w:p w14:paraId="0902FC07" w14:textId="77777777" w:rsidR="00E36D0B" w:rsidRDefault="0041021E" w:rsidP="0041021E">
      <w:pPr>
        <w:suppressAutoHyphens/>
        <w:ind w:firstLine="709"/>
        <w:jc w:val="both"/>
        <w:rPr>
          <w:lang w:eastAsia="lt-LT"/>
        </w:rPr>
      </w:pPr>
      <w:r>
        <w:rPr>
          <w:lang w:eastAsia="lt-LT"/>
        </w:rPr>
        <w:t>14.1</w:t>
      </w:r>
      <w:r>
        <w:rPr>
          <w:lang w:eastAsia="lt-LT"/>
        </w:rPr>
        <w:t>. A tipo neįgaliųjų automobilių stovėjimo vieta tinkama mikroautobusams turi būti ne s</w:t>
      </w:r>
      <w:r>
        <w:rPr>
          <w:lang w:eastAsia="lt-LT"/>
        </w:rPr>
        <w:t>iauresnė kaip 4 900 mm, iš kurių 3 400 mm automobilių statymo vietos plotis, o 1 500 mm aikštelė išlipimui, ir ne trumpesnė kaip 8 200 mm, iš kurių 5 200 mm automobilių statymo vietos ilgis, o 3 000 mm aikštelė išlipimui. Jeigu šone ar gale automobilių sta</w:t>
      </w:r>
      <w:r>
        <w:rPr>
          <w:lang w:eastAsia="lt-LT"/>
        </w:rPr>
        <w:t>tymo vietos įrengta pėsčiųjų judėjimo trasa, atitinkanti išlipimo aikštelei keliamus reikalavimus, atskira išlipimo aikštelė gali būti neįrengiama;</w:t>
      </w:r>
    </w:p>
    <w:p w14:paraId="0902FC08" w14:textId="77777777" w:rsidR="00E36D0B" w:rsidRDefault="0041021E" w:rsidP="0041021E">
      <w:pPr>
        <w:suppressAutoHyphens/>
        <w:ind w:firstLine="709"/>
        <w:jc w:val="both"/>
        <w:rPr>
          <w:lang w:eastAsia="lt-LT"/>
        </w:rPr>
      </w:pPr>
      <w:r>
        <w:rPr>
          <w:lang w:eastAsia="lt-LT"/>
        </w:rPr>
        <w:t>14.2</w:t>
      </w:r>
      <w:r>
        <w:rPr>
          <w:lang w:eastAsia="lt-LT"/>
        </w:rPr>
        <w:t>. B tipo neįgaliųjų automobilių stovėjimo vieta turi būti ne siauresnė kaip 3 900 mm, iš kurių 2 400</w:t>
      </w:r>
      <w:r>
        <w:rPr>
          <w:lang w:eastAsia="lt-LT"/>
        </w:rPr>
        <w:t xml:space="preserve"> mm automobilių statymo vietos plotis, o 1 500 mm aikštelė išlipimui, ir ne trumpesnė kaip 5 200 mm. Jeigu šone automobilių statymo vietos įrengta pėsčiųjų judėjimo trasa, atitinkanti išlipimo aikštelei keliamus reikalavimus, atskira išlipimo aikštelė gali</w:t>
      </w:r>
      <w:r>
        <w:rPr>
          <w:lang w:eastAsia="lt-LT"/>
        </w:rPr>
        <w:t xml:space="preserve"> būti neįrengiama.</w:t>
      </w:r>
    </w:p>
    <w:p w14:paraId="0902FC09" w14:textId="77777777" w:rsidR="00E36D0B" w:rsidRDefault="0041021E" w:rsidP="0041021E">
      <w:pPr>
        <w:suppressAutoHyphens/>
        <w:ind w:firstLine="709"/>
        <w:jc w:val="both"/>
        <w:rPr>
          <w:lang w:eastAsia="lt-LT"/>
        </w:rPr>
      </w:pPr>
      <w:r>
        <w:rPr>
          <w:lang w:eastAsia="lt-LT"/>
        </w:rPr>
        <w:t>15</w:t>
      </w:r>
      <w:r>
        <w:rPr>
          <w:lang w:eastAsia="lt-LT"/>
        </w:rPr>
        <w:t>. Reglamente nustatyta 1 500 mm pločio aikštelė išlipimui gali būti bendra dviem gretimoms neįgaliųjų automobilių stovėjimo vietoms.</w:t>
      </w:r>
    </w:p>
    <w:p w14:paraId="0902FC0A" w14:textId="77777777" w:rsidR="00E36D0B" w:rsidRDefault="0041021E" w:rsidP="0041021E">
      <w:pPr>
        <w:suppressAutoHyphens/>
        <w:ind w:firstLine="709"/>
        <w:jc w:val="both"/>
        <w:rPr>
          <w:lang w:eastAsia="lt-LT"/>
        </w:rPr>
      </w:pPr>
      <w:r>
        <w:rPr>
          <w:lang w:eastAsia="lt-LT"/>
        </w:rPr>
        <w:t>16</w:t>
      </w:r>
      <w:r>
        <w:rPr>
          <w:lang w:eastAsia="lt-LT"/>
        </w:rPr>
        <w:t>. Automobilių saugyklose neįgaliųjų automobilių stovėjimo vietų privalomas skaičius pateik</w:t>
      </w:r>
      <w:r>
        <w:rPr>
          <w:lang w:eastAsia="lt-LT"/>
        </w:rPr>
        <w:t>iamas 1 lentelėje.</w:t>
      </w:r>
    </w:p>
    <w:p w14:paraId="0902FC0B" w14:textId="77777777" w:rsidR="00E36D0B" w:rsidRDefault="00E36D0B">
      <w:pPr>
        <w:suppressAutoHyphens/>
        <w:ind w:firstLine="62"/>
        <w:rPr>
          <w:lang w:eastAsia="lt-LT"/>
        </w:rPr>
      </w:pPr>
    </w:p>
    <w:p w14:paraId="0902FC0C" w14:textId="6FD8008E" w:rsidR="00E36D0B" w:rsidRDefault="0041021E">
      <w:pPr>
        <w:suppressAutoHyphens/>
        <w:jc w:val="right"/>
        <w:rPr>
          <w:lang w:eastAsia="lt-LT"/>
        </w:rPr>
      </w:pPr>
      <w:r>
        <w:rPr>
          <w:lang w:eastAsia="lt-LT"/>
        </w:rPr>
        <w:t>1</w:t>
      </w:r>
      <w:r>
        <w:rPr>
          <w:lang w:eastAsia="lt-LT"/>
        </w:rPr>
        <w:t xml:space="preserve"> lentelė</w:t>
      </w:r>
    </w:p>
    <w:p w14:paraId="0902FC0D" w14:textId="7A6154AB" w:rsidR="00E36D0B" w:rsidRDefault="0041021E">
      <w:pPr>
        <w:suppressAutoHyphens/>
        <w:jc w:val="center"/>
        <w:rPr>
          <w:lang w:eastAsia="lt-LT"/>
        </w:rPr>
      </w:pPr>
      <w:r>
        <w:rPr>
          <w:lang w:eastAsia="lt-LT"/>
        </w:rPr>
        <w:t>Neįgaliųjų automobilių stovėjimo vietų skaičius</w:t>
      </w:r>
    </w:p>
    <w:p w14:paraId="0902FC0E" w14:textId="155B5C86" w:rsidR="00E36D0B" w:rsidRDefault="00E36D0B">
      <w:pPr>
        <w:suppressAutoHyphens/>
        <w:jc w:val="center"/>
        <w:rPr>
          <w:lang w:eastAsia="lt-LT"/>
        </w:rPr>
      </w:pPr>
    </w:p>
    <w:tbl>
      <w:tblPr>
        <w:tblW w:w="9945"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50"/>
        <w:gridCol w:w="4155"/>
        <w:gridCol w:w="3540"/>
      </w:tblGrid>
      <w:tr w:rsidR="00E36D0B" w14:paraId="0902FC12" w14:textId="77777777">
        <w:tc>
          <w:tcPr>
            <w:tcW w:w="2250" w:type="dxa"/>
            <w:shd w:val="clear" w:color="auto" w:fill="auto"/>
            <w:tcMar>
              <w:top w:w="100" w:type="dxa"/>
              <w:left w:w="100" w:type="dxa"/>
              <w:bottom w:w="100" w:type="dxa"/>
              <w:right w:w="100" w:type="dxa"/>
            </w:tcMar>
          </w:tcPr>
          <w:p w14:paraId="0902FC0F" w14:textId="110B35C1" w:rsidR="00E36D0B" w:rsidRDefault="0041021E">
            <w:pPr>
              <w:suppressAutoHyphens/>
              <w:rPr>
                <w:lang w:eastAsia="lt-LT"/>
              </w:rPr>
            </w:pPr>
            <w:r>
              <w:rPr>
                <w:lang w:eastAsia="lt-LT"/>
              </w:rPr>
              <w:t>Bendras automobilių stovėjimo vietų skaičius</w:t>
            </w:r>
          </w:p>
        </w:tc>
        <w:tc>
          <w:tcPr>
            <w:tcW w:w="4155" w:type="dxa"/>
            <w:shd w:val="clear" w:color="auto" w:fill="auto"/>
            <w:tcMar>
              <w:top w:w="100" w:type="dxa"/>
              <w:left w:w="100" w:type="dxa"/>
              <w:bottom w:w="100" w:type="dxa"/>
              <w:right w:w="100" w:type="dxa"/>
            </w:tcMar>
          </w:tcPr>
          <w:p w14:paraId="0902FC10" w14:textId="77777777" w:rsidR="00E36D0B" w:rsidRDefault="0041021E">
            <w:pPr>
              <w:suppressAutoHyphens/>
              <w:rPr>
                <w:lang w:eastAsia="lt-LT"/>
              </w:rPr>
            </w:pPr>
            <w:r>
              <w:rPr>
                <w:lang w:eastAsia="lt-LT"/>
              </w:rPr>
              <w:t xml:space="preserve">Minimalus bendras neįgaliųjų automobilių stovėjimo vietų skaičius </w:t>
            </w:r>
          </w:p>
        </w:tc>
        <w:tc>
          <w:tcPr>
            <w:tcW w:w="3540" w:type="dxa"/>
            <w:shd w:val="clear" w:color="auto" w:fill="auto"/>
            <w:tcMar>
              <w:top w:w="100" w:type="dxa"/>
              <w:left w:w="100" w:type="dxa"/>
              <w:bottom w:w="100" w:type="dxa"/>
              <w:right w:w="100" w:type="dxa"/>
            </w:tcMar>
          </w:tcPr>
          <w:p w14:paraId="0902FC11" w14:textId="77777777" w:rsidR="00E36D0B" w:rsidRDefault="0041021E">
            <w:pPr>
              <w:suppressAutoHyphens/>
              <w:rPr>
                <w:lang w:eastAsia="lt-LT"/>
              </w:rPr>
            </w:pPr>
            <w:r>
              <w:rPr>
                <w:lang w:eastAsia="lt-LT"/>
              </w:rPr>
              <w:t xml:space="preserve">Minimalus A tipo automobilių stovėjimo vietų skaičius iš neįgaliųjų automobilių stovėjimo vietų skaičiaus </w:t>
            </w:r>
          </w:p>
        </w:tc>
      </w:tr>
      <w:tr w:rsidR="00E36D0B" w14:paraId="0902FC16" w14:textId="77777777">
        <w:tc>
          <w:tcPr>
            <w:tcW w:w="2250" w:type="dxa"/>
            <w:shd w:val="clear" w:color="auto" w:fill="auto"/>
            <w:tcMar>
              <w:top w:w="100" w:type="dxa"/>
              <w:left w:w="100" w:type="dxa"/>
              <w:bottom w:w="100" w:type="dxa"/>
              <w:right w:w="100" w:type="dxa"/>
            </w:tcMar>
          </w:tcPr>
          <w:p w14:paraId="0902FC13" w14:textId="77777777" w:rsidR="00E36D0B" w:rsidRDefault="0041021E">
            <w:pPr>
              <w:widowControl w:val="0"/>
              <w:suppressAutoHyphens/>
              <w:rPr>
                <w:lang w:eastAsia="lt-LT"/>
              </w:rPr>
            </w:pPr>
            <w:r>
              <w:rPr>
                <w:lang w:eastAsia="lt-LT"/>
              </w:rPr>
              <w:t>20 ar mažiau</w:t>
            </w:r>
          </w:p>
        </w:tc>
        <w:tc>
          <w:tcPr>
            <w:tcW w:w="4155" w:type="dxa"/>
            <w:shd w:val="clear" w:color="auto" w:fill="auto"/>
            <w:tcMar>
              <w:top w:w="100" w:type="dxa"/>
              <w:left w:w="100" w:type="dxa"/>
              <w:bottom w:w="100" w:type="dxa"/>
              <w:right w:w="100" w:type="dxa"/>
            </w:tcMar>
          </w:tcPr>
          <w:p w14:paraId="0902FC14" w14:textId="77777777" w:rsidR="00E36D0B" w:rsidRDefault="0041021E">
            <w:pPr>
              <w:widowControl w:val="0"/>
              <w:suppressAutoHyphens/>
              <w:rPr>
                <w:lang w:eastAsia="lt-LT"/>
              </w:rPr>
            </w:pPr>
            <w:r>
              <w:rPr>
                <w:lang w:eastAsia="lt-LT"/>
              </w:rPr>
              <w:t>1</w:t>
            </w:r>
          </w:p>
        </w:tc>
        <w:tc>
          <w:tcPr>
            <w:tcW w:w="3540" w:type="dxa"/>
            <w:shd w:val="clear" w:color="auto" w:fill="auto"/>
            <w:tcMar>
              <w:top w:w="100" w:type="dxa"/>
              <w:left w:w="100" w:type="dxa"/>
              <w:bottom w:w="100" w:type="dxa"/>
              <w:right w:w="100" w:type="dxa"/>
            </w:tcMar>
          </w:tcPr>
          <w:p w14:paraId="0902FC15" w14:textId="77777777" w:rsidR="00E36D0B" w:rsidRDefault="0041021E">
            <w:pPr>
              <w:widowControl w:val="0"/>
              <w:suppressAutoHyphens/>
              <w:rPr>
                <w:lang w:eastAsia="lt-LT"/>
              </w:rPr>
            </w:pPr>
            <w:r>
              <w:rPr>
                <w:lang w:eastAsia="lt-LT"/>
              </w:rPr>
              <w:t>1</w:t>
            </w:r>
          </w:p>
        </w:tc>
      </w:tr>
      <w:tr w:rsidR="00E36D0B" w14:paraId="0902FC1A" w14:textId="77777777">
        <w:tc>
          <w:tcPr>
            <w:tcW w:w="2250" w:type="dxa"/>
            <w:shd w:val="clear" w:color="auto" w:fill="auto"/>
            <w:tcMar>
              <w:top w:w="100" w:type="dxa"/>
              <w:left w:w="100" w:type="dxa"/>
              <w:bottom w:w="100" w:type="dxa"/>
              <w:right w:w="100" w:type="dxa"/>
            </w:tcMar>
          </w:tcPr>
          <w:p w14:paraId="0902FC17" w14:textId="77777777" w:rsidR="00E36D0B" w:rsidRDefault="0041021E">
            <w:pPr>
              <w:widowControl w:val="0"/>
              <w:suppressAutoHyphens/>
              <w:rPr>
                <w:lang w:eastAsia="lt-LT"/>
              </w:rPr>
            </w:pPr>
            <w:r>
              <w:rPr>
                <w:lang w:eastAsia="lt-LT"/>
              </w:rPr>
              <w:t>21 - 50</w:t>
            </w:r>
          </w:p>
        </w:tc>
        <w:tc>
          <w:tcPr>
            <w:tcW w:w="4155" w:type="dxa"/>
            <w:shd w:val="clear" w:color="auto" w:fill="auto"/>
            <w:tcMar>
              <w:top w:w="100" w:type="dxa"/>
              <w:left w:w="100" w:type="dxa"/>
              <w:bottom w:w="100" w:type="dxa"/>
              <w:right w:w="100" w:type="dxa"/>
            </w:tcMar>
          </w:tcPr>
          <w:p w14:paraId="0902FC18" w14:textId="77777777" w:rsidR="00E36D0B" w:rsidRDefault="0041021E">
            <w:pPr>
              <w:widowControl w:val="0"/>
              <w:suppressAutoHyphens/>
              <w:rPr>
                <w:lang w:eastAsia="lt-LT"/>
              </w:rPr>
            </w:pPr>
            <w:r>
              <w:rPr>
                <w:lang w:eastAsia="lt-LT"/>
              </w:rPr>
              <w:t>2</w:t>
            </w:r>
          </w:p>
        </w:tc>
        <w:tc>
          <w:tcPr>
            <w:tcW w:w="3540" w:type="dxa"/>
            <w:shd w:val="clear" w:color="auto" w:fill="auto"/>
            <w:tcMar>
              <w:top w:w="100" w:type="dxa"/>
              <w:left w:w="100" w:type="dxa"/>
              <w:bottom w:w="100" w:type="dxa"/>
              <w:right w:w="100" w:type="dxa"/>
            </w:tcMar>
          </w:tcPr>
          <w:p w14:paraId="0902FC19" w14:textId="77777777" w:rsidR="00E36D0B" w:rsidRDefault="0041021E">
            <w:pPr>
              <w:widowControl w:val="0"/>
              <w:suppressAutoHyphens/>
              <w:rPr>
                <w:lang w:eastAsia="lt-LT"/>
              </w:rPr>
            </w:pPr>
            <w:r>
              <w:rPr>
                <w:lang w:eastAsia="lt-LT"/>
              </w:rPr>
              <w:t>1</w:t>
            </w:r>
          </w:p>
        </w:tc>
      </w:tr>
      <w:tr w:rsidR="00E36D0B" w14:paraId="0902FC1E" w14:textId="77777777">
        <w:tc>
          <w:tcPr>
            <w:tcW w:w="2250" w:type="dxa"/>
            <w:shd w:val="clear" w:color="auto" w:fill="auto"/>
            <w:tcMar>
              <w:top w:w="100" w:type="dxa"/>
              <w:left w:w="100" w:type="dxa"/>
              <w:bottom w:w="100" w:type="dxa"/>
              <w:right w:w="100" w:type="dxa"/>
            </w:tcMar>
          </w:tcPr>
          <w:p w14:paraId="0902FC1B" w14:textId="77777777" w:rsidR="00E36D0B" w:rsidRDefault="0041021E">
            <w:pPr>
              <w:widowControl w:val="0"/>
              <w:suppressAutoHyphens/>
              <w:rPr>
                <w:lang w:eastAsia="lt-LT"/>
              </w:rPr>
            </w:pPr>
            <w:r>
              <w:rPr>
                <w:lang w:eastAsia="lt-LT"/>
              </w:rPr>
              <w:t>51 - 100</w:t>
            </w:r>
          </w:p>
        </w:tc>
        <w:tc>
          <w:tcPr>
            <w:tcW w:w="4155" w:type="dxa"/>
            <w:shd w:val="clear" w:color="auto" w:fill="auto"/>
            <w:tcMar>
              <w:top w:w="100" w:type="dxa"/>
              <w:left w:w="100" w:type="dxa"/>
              <w:bottom w:w="100" w:type="dxa"/>
              <w:right w:w="100" w:type="dxa"/>
            </w:tcMar>
          </w:tcPr>
          <w:p w14:paraId="0902FC1C" w14:textId="77777777" w:rsidR="00E36D0B" w:rsidRDefault="0041021E">
            <w:pPr>
              <w:suppressAutoHyphens/>
              <w:rPr>
                <w:lang w:eastAsia="lt-LT"/>
              </w:rPr>
            </w:pPr>
            <w:r>
              <w:rPr>
                <w:lang w:eastAsia="lt-LT"/>
              </w:rPr>
              <w:t>4 procentai nuo bendro automobilių stovėjimo vietų skaičiaus</w:t>
            </w:r>
          </w:p>
        </w:tc>
        <w:tc>
          <w:tcPr>
            <w:tcW w:w="3540" w:type="dxa"/>
            <w:shd w:val="clear" w:color="auto" w:fill="auto"/>
            <w:tcMar>
              <w:top w:w="100" w:type="dxa"/>
              <w:left w:w="100" w:type="dxa"/>
              <w:bottom w:w="100" w:type="dxa"/>
              <w:right w:w="100" w:type="dxa"/>
            </w:tcMar>
          </w:tcPr>
          <w:p w14:paraId="0902FC1D" w14:textId="77777777" w:rsidR="00E36D0B" w:rsidRDefault="0041021E">
            <w:pPr>
              <w:suppressAutoHyphens/>
              <w:rPr>
                <w:lang w:eastAsia="lt-LT"/>
              </w:rPr>
            </w:pPr>
            <w:r>
              <w:rPr>
                <w:lang w:eastAsia="lt-LT"/>
              </w:rPr>
              <w:t>1 procentas nuo bendro automobilių stovėjimo vi</w:t>
            </w:r>
            <w:r>
              <w:rPr>
                <w:lang w:eastAsia="lt-LT"/>
              </w:rPr>
              <w:t>etų skaičiaus, bet ne mažiau kaip 1 vieta</w:t>
            </w:r>
          </w:p>
        </w:tc>
      </w:tr>
      <w:tr w:rsidR="00E36D0B" w14:paraId="0902FC22" w14:textId="77777777">
        <w:tc>
          <w:tcPr>
            <w:tcW w:w="2250" w:type="dxa"/>
            <w:shd w:val="clear" w:color="auto" w:fill="auto"/>
            <w:tcMar>
              <w:top w:w="100" w:type="dxa"/>
              <w:left w:w="100" w:type="dxa"/>
              <w:bottom w:w="100" w:type="dxa"/>
              <w:right w:w="100" w:type="dxa"/>
            </w:tcMar>
          </w:tcPr>
          <w:p w14:paraId="0902FC1F" w14:textId="77777777" w:rsidR="00E36D0B" w:rsidRDefault="0041021E">
            <w:pPr>
              <w:widowControl w:val="0"/>
              <w:suppressAutoHyphens/>
              <w:rPr>
                <w:lang w:eastAsia="lt-LT"/>
              </w:rPr>
            </w:pPr>
            <w:r>
              <w:rPr>
                <w:lang w:eastAsia="lt-LT"/>
              </w:rPr>
              <w:t>101 - 200</w:t>
            </w:r>
          </w:p>
        </w:tc>
        <w:tc>
          <w:tcPr>
            <w:tcW w:w="4155" w:type="dxa"/>
            <w:shd w:val="clear" w:color="auto" w:fill="auto"/>
            <w:tcMar>
              <w:top w:w="100" w:type="dxa"/>
              <w:left w:w="100" w:type="dxa"/>
              <w:bottom w:w="100" w:type="dxa"/>
              <w:right w:w="100" w:type="dxa"/>
            </w:tcMar>
          </w:tcPr>
          <w:p w14:paraId="0902FC20" w14:textId="77777777" w:rsidR="00E36D0B" w:rsidRDefault="0041021E">
            <w:pPr>
              <w:suppressAutoHyphens/>
              <w:rPr>
                <w:lang w:eastAsia="lt-LT"/>
              </w:rPr>
            </w:pPr>
            <w:r>
              <w:rPr>
                <w:lang w:eastAsia="lt-LT"/>
              </w:rPr>
              <w:t>4 procentai nuo bendro automobilių stovėjimo vietų skaičiaus</w:t>
            </w:r>
          </w:p>
        </w:tc>
        <w:tc>
          <w:tcPr>
            <w:tcW w:w="3540" w:type="dxa"/>
            <w:shd w:val="clear" w:color="auto" w:fill="auto"/>
            <w:tcMar>
              <w:top w:w="100" w:type="dxa"/>
              <w:left w:w="100" w:type="dxa"/>
              <w:bottom w:w="100" w:type="dxa"/>
              <w:right w:w="100" w:type="dxa"/>
            </w:tcMar>
          </w:tcPr>
          <w:p w14:paraId="0902FC21" w14:textId="77777777" w:rsidR="00E36D0B" w:rsidRDefault="0041021E">
            <w:pPr>
              <w:suppressAutoHyphens/>
              <w:rPr>
                <w:lang w:eastAsia="lt-LT"/>
              </w:rPr>
            </w:pPr>
            <w:r>
              <w:rPr>
                <w:lang w:eastAsia="lt-LT"/>
              </w:rPr>
              <w:t>0,75 procento nuo bendro automobilių stovėjimo vietų skaičiaus, bet ne mažiau kaip 1 vieta</w:t>
            </w:r>
          </w:p>
        </w:tc>
      </w:tr>
      <w:tr w:rsidR="00E36D0B" w14:paraId="0902FC26" w14:textId="77777777">
        <w:tc>
          <w:tcPr>
            <w:tcW w:w="2250" w:type="dxa"/>
            <w:shd w:val="clear" w:color="auto" w:fill="auto"/>
            <w:tcMar>
              <w:top w:w="100" w:type="dxa"/>
              <w:left w:w="100" w:type="dxa"/>
              <w:bottom w:w="100" w:type="dxa"/>
              <w:right w:w="100" w:type="dxa"/>
            </w:tcMar>
          </w:tcPr>
          <w:p w14:paraId="0902FC23" w14:textId="77777777" w:rsidR="00E36D0B" w:rsidRDefault="0041021E">
            <w:pPr>
              <w:widowControl w:val="0"/>
              <w:suppressAutoHyphens/>
              <w:rPr>
                <w:lang w:eastAsia="lt-LT"/>
              </w:rPr>
            </w:pPr>
            <w:r>
              <w:rPr>
                <w:lang w:eastAsia="lt-LT"/>
              </w:rPr>
              <w:t>201 - 1000</w:t>
            </w:r>
          </w:p>
        </w:tc>
        <w:tc>
          <w:tcPr>
            <w:tcW w:w="4155" w:type="dxa"/>
            <w:shd w:val="clear" w:color="auto" w:fill="auto"/>
            <w:tcMar>
              <w:top w:w="100" w:type="dxa"/>
              <w:left w:w="100" w:type="dxa"/>
              <w:bottom w:w="100" w:type="dxa"/>
              <w:right w:w="100" w:type="dxa"/>
            </w:tcMar>
          </w:tcPr>
          <w:p w14:paraId="0902FC24" w14:textId="77777777" w:rsidR="00E36D0B" w:rsidRDefault="0041021E">
            <w:pPr>
              <w:suppressAutoHyphens/>
              <w:rPr>
                <w:lang w:eastAsia="lt-LT"/>
              </w:rPr>
            </w:pPr>
            <w:r>
              <w:rPr>
                <w:lang w:eastAsia="lt-LT"/>
              </w:rPr>
              <w:t xml:space="preserve">3 procentai nuo bendro automobilių </w:t>
            </w:r>
            <w:r>
              <w:rPr>
                <w:lang w:eastAsia="lt-LT"/>
              </w:rPr>
              <w:t xml:space="preserve">stovėjimo vietų skaičiaus, bet ne mažiau </w:t>
            </w:r>
            <w:r>
              <w:rPr>
                <w:lang w:eastAsia="lt-LT"/>
              </w:rPr>
              <w:lastRenderedPageBreak/>
              <w:t>kaip 8 vietos</w:t>
            </w:r>
          </w:p>
        </w:tc>
        <w:tc>
          <w:tcPr>
            <w:tcW w:w="3540" w:type="dxa"/>
            <w:shd w:val="clear" w:color="auto" w:fill="auto"/>
            <w:tcMar>
              <w:top w:w="100" w:type="dxa"/>
              <w:left w:w="100" w:type="dxa"/>
              <w:bottom w:w="100" w:type="dxa"/>
              <w:right w:w="100" w:type="dxa"/>
            </w:tcMar>
          </w:tcPr>
          <w:p w14:paraId="0902FC25" w14:textId="77777777" w:rsidR="00E36D0B" w:rsidRDefault="0041021E">
            <w:pPr>
              <w:suppressAutoHyphens/>
              <w:rPr>
                <w:lang w:eastAsia="lt-LT"/>
              </w:rPr>
            </w:pPr>
            <w:r>
              <w:rPr>
                <w:lang w:eastAsia="lt-LT"/>
              </w:rPr>
              <w:lastRenderedPageBreak/>
              <w:t xml:space="preserve">0,5 procento nuo bendro automobilių stovėjimo vietų </w:t>
            </w:r>
            <w:r>
              <w:rPr>
                <w:lang w:eastAsia="lt-LT"/>
              </w:rPr>
              <w:lastRenderedPageBreak/>
              <w:t>skaičiaus, bet ne mažiau kaip 2 vietos</w:t>
            </w:r>
          </w:p>
        </w:tc>
      </w:tr>
      <w:tr w:rsidR="00E36D0B" w14:paraId="0902FC2B" w14:textId="77777777">
        <w:tc>
          <w:tcPr>
            <w:tcW w:w="2250" w:type="dxa"/>
            <w:shd w:val="clear" w:color="auto" w:fill="auto"/>
            <w:tcMar>
              <w:top w:w="100" w:type="dxa"/>
              <w:left w:w="100" w:type="dxa"/>
              <w:bottom w:w="100" w:type="dxa"/>
              <w:right w:w="100" w:type="dxa"/>
            </w:tcMar>
          </w:tcPr>
          <w:p w14:paraId="0902FC27" w14:textId="77777777" w:rsidR="00E36D0B" w:rsidRDefault="0041021E">
            <w:pPr>
              <w:suppressAutoHyphens/>
              <w:rPr>
                <w:lang w:eastAsia="lt-LT"/>
              </w:rPr>
            </w:pPr>
            <w:r>
              <w:rPr>
                <w:lang w:eastAsia="lt-LT"/>
              </w:rPr>
              <w:lastRenderedPageBreak/>
              <w:t>daugiau kaip 1000</w:t>
            </w:r>
          </w:p>
        </w:tc>
        <w:tc>
          <w:tcPr>
            <w:tcW w:w="4155" w:type="dxa"/>
            <w:shd w:val="clear" w:color="auto" w:fill="auto"/>
            <w:tcMar>
              <w:top w:w="100" w:type="dxa"/>
              <w:left w:w="100" w:type="dxa"/>
              <w:bottom w:w="100" w:type="dxa"/>
              <w:right w:w="100" w:type="dxa"/>
            </w:tcMar>
          </w:tcPr>
          <w:p w14:paraId="0902FC28" w14:textId="77777777" w:rsidR="00E36D0B" w:rsidRDefault="0041021E">
            <w:pPr>
              <w:suppressAutoHyphens/>
              <w:rPr>
                <w:lang w:eastAsia="lt-LT"/>
              </w:rPr>
            </w:pPr>
            <w:r>
              <w:rPr>
                <w:lang w:eastAsia="lt-LT"/>
              </w:rPr>
              <w:t>2 procentai nuo bendro automobilių stovėjimo vietų skaičiaus, bet ne mažiau kaip 30 vietų</w:t>
            </w:r>
          </w:p>
        </w:tc>
        <w:tc>
          <w:tcPr>
            <w:tcW w:w="3540" w:type="dxa"/>
            <w:shd w:val="clear" w:color="auto" w:fill="auto"/>
            <w:tcMar>
              <w:top w:w="100" w:type="dxa"/>
              <w:left w:w="100" w:type="dxa"/>
              <w:bottom w:w="100" w:type="dxa"/>
              <w:right w:w="100" w:type="dxa"/>
            </w:tcMar>
          </w:tcPr>
          <w:p w14:paraId="0902FC29" w14:textId="77777777" w:rsidR="00E36D0B" w:rsidRDefault="0041021E">
            <w:pPr>
              <w:suppressAutoHyphens/>
              <w:rPr>
                <w:lang w:eastAsia="lt-LT"/>
              </w:rPr>
            </w:pPr>
            <w:r>
              <w:rPr>
                <w:lang w:eastAsia="lt-LT"/>
              </w:rPr>
              <w:t>0</w:t>
            </w:r>
            <w:r>
              <w:rPr>
                <w:lang w:eastAsia="lt-LT"/>
              </w:rPr>
              <w:t>,25 procento nuo bendro automobilių stovėjimo vietų skaičiaus, bet ne mažiau kaip 5 vietos</w:t>
            </w:r>
          </w:p>
          <w:p w14:paraId="0902FC2A" w14:textId="77777777" w:rsidR="00E36D0B" w:rsidRDefault="00E36D0B"/>
        </w:tc>
      </w:tr>
    </w:tbl>
    <w:p w14:paraId="0902FC2C" w14:textId="0F284C38" w:rsidR="00E36D0B" w:rsidRDefault="0041021E">
      <w:pPr>
        <w:suppressAutoHyphens/>
        <w:rPr>
          <w:lang w:eastAsia="lt-LT"/>
        </w:rPr>
      </w:pPr>
    </w:p>
    <w:p w14:paraId="0902FC2D" w14:textId="77777777" w:rsidR="00E36D0B" w:rsidRDefault="0041021E" w:rsidP="0041021E">
      <w:pPr>
        <w:suppressAutoHyphens/>
        <w:ind w:firstLine="709"/>
        <w:jc w:val="both"/>
        <w:rPr>
          <w:lang w:eastAsia="lt-LT"/>
        </w:rPr>
      </w:pPr>
      <w:r>
        <w:rPr>
          <w:lang w:eastAsia="lt-LT"/>
        </w:rPr>
        <w:t>17</w:t>
      </w:r>
      <w:r>
        <w:rPr>
          <w:lang w:eastAsia="lt-LT"/>
        </w:rPr>
        <w:t>. Gydymo paskirties pastatų (išskyrus veterinarijos gydyklas, kurioms taikomi 1 lentelės reikalavimai), automobilių stovėjimo vietose [5.5] ir automobilių</w:t>
      </w:r>
      <w:r>
        <w:rPr>
          <w:lang w:eastAsia="lt-LT"/>
        </w:rPr>
        <w:t xml:space="preserve"> saugyklose [5.6] minimalus neįgaliųjų automobilių stovėjimo vietų skaičius privalo sudaryti 10 procentų vietų, bet ne mažiau kaip dvi vietas, iš kurių ne mažiau kaip 50 procentų A tipo nuo bendro neįgaliųjų automobilių stovėjimo vietų skaičiaus.</w:t>
      </w:r>
    </w:p>
    <w:p w14:paraId="0902FC2E" w14:textId="77777777" w:rsidR="00E36D0B" w:rsidRDefault="0041021E" w:rsidP="0041021E">
      <w:pPr>
        <w:suppressAutoHyphens/>
        <w:ind w:firstLine="709"/>
        <w:jc w:val="both"/>
        <w:rPr>
          <w:lang w:eastAsia="lt-LT"/>
        </w:rPr>
      </w:pPr>
      <w:r>
        <w:rPr>
          <w:lang w:eastAsia="lt-LT"/>
        </w:rPr>
        <w:t>18</w:t>
      </w:r>
      <w:r>
        <w:rPr>
          <w:lang w:eastAsia="lt-LT"/>
        </w:rPr>
        <w:t>. K</w:t>
      </w:r>
      <w:r>
        <w:rPr>
          <w:lang w:eastAsia="lt-LT"/>
        </w:rPr>
        <w:t>ai neįgaliųjų automobilių stovėjimo vietos įrengiamos patalpose, jos turi atitikti šio skyriaus ir ISO 21542:2011 6.8 papunkčio [5.10] reikalavimus.</w:t>
      </w:r>
    </w:p>
    <w:p w14:paraId="0902FC2F" w14:textId="77777777" w:rsidR="00E36D0B" w:rsidRDefault="0041021E" w:rsidP="0041021E">
      <w:pPr>
        <w:suppressAutoHyphens/>
        <w:ind w:firstLine="709"/>
        <w:jc w:val="both"/>
        <w:rPr>
          <w:lang w:eastAsia="lt-LT"/>
        </w:rPr>
      </w:pPr>
      <w:r>
        <w:rPr>
          <w:lang w:eastAsia="lt-LT"/>
        </w:rPr>
        <w:t>19</w:t>
      </w:r>
      <w:r>
        <w:rPr>
          <w:lang w:eastAsia="lt-LT"/>
        </w:rPr>
        <w:t>. Kiti reikalavimai neįgaliųjų automobilių stovėjimo vietoms nustatyti ISO 21542:2011 6 skyriuje [5.1</w:t>
      </w:r>
      <w:r>
        <w:rPr>
          <w:lang w:eastAsia="lt-LT"/>
        </w:rPr>
        <w:t>0].</w:t>
      </w:r>
    </w:p>
    <w:p w14:paraId="0902FC30" w14:textId="77777777" w:rsidR="00E36D0B" w:rsidRDefault="0041021E">
      <w:pPr>
        <w:suppressAutoHyphens/>
        <w:ind w:firstLine="709"/>
        <w:rPr>
          <w:lang w:eastAsia="lt-LT"/>
        </w:rPr>
      </w:pPr>
    </w:p>
    <w:p w14:paraId="0902FC31" w14:textId="77777777" w:rsidR="00E36D0B" w:rsidRDefault="0041021E">
      <w:pPr>
        <w:suppressAutoHyphens/>
        <w:jc w:val="center"/>
        <w:rPr>
          <w:b/>
          <w:lang w:eastAsia="lt-LT"/>
        </w:rPr>
      </w:pPr>
      <w:r>
        <w:rPr>
          <w:b/>
          <w:lang w:eastAsia="lt-LT"/>
        </w:rPr>
        <w:t>V</w:t>
      </w:r>
      <w:r>
        <w:rPr>
          <w:b/>
          <w:lang w:eastAsia="lt-LT"/>
        </w:rPr>
        <w:t xml:space="preserve"> SKYRIUS</w:t>
      </w:r>
    </w:p>
    <w:p w14:paraId="0902FC32" w14:textId="77777777" w:rsidR="00E36D0B" w:rsidRDefault="0041021E">
      <w:pPr>
        <w:suppressAutoHyphens/>
        <w:jc w:val="center"/>
        <w:rPr>
          <w:b/>
          <w:lang w:eastAsia="lt-LT"/>
        </w:rPr>
      </w:pPr>
      <w:r>
        <w:rPr>
          <w:b/>
          <w:lang w:eastAsia="lt-LT"/>
        </w:rPr>
        <w:t>TAKAI IKI PASTATO</w:t>
      </w:r>
    </w:p>
    <w:p w14:paraId="0902FC33" w14:textId="77777777" w:rsidR="00E36D0B" w:rsidRDefault="00E36D0B">
      <w:pPr>
        <w:suppressAutoHyphens/>
        <w:jc w:val="center"/>
        <w:rPr>
          <w:b/>
          <w:lang w:eastAsia="lt-LT"/>
        </w:rPr>
      </w:pPr>
    </w:p>
    <w:p w14:paraId="0902FC34" w14:textId="77777777" w:rsidR="00E36D0B" w:rsidRDefault="0041021E" w:rsidP="0041021E">
      <w:pPr>
        <w:suppressAutoHyphens/>
        <w:ind w:firstLine="709"/>
        <w:jc w:val="both"/>
        <w:rPr>
          <w:lang w:eastAsia="lt-LT"/>
        </w:rPr>
      </w:pPr>
      <w:r>
        <w:rPr>
          <w:lang w:eastAsia="lt-LT"/>
        </w:rPr>
        <w:t>20</w:t>
      </w:r>
      <w:r>
        <w:rPr>
          <w:lang w:eastAsia="lt-LT"/>
        </w:rPr>
        <w:t>. Takas arba maršrutas nuo žemės sklypo arba statybos sklypo ribos arba transporto priemonių stovėjimo zonos iki pastato turi būti įrengiamas pagal ISO 21542:2011 7, 8 ir 9 skyrių [5.10] ir Reglamento reikalavi</w:t>
      </w:r>
      <w:r>
        <w:rPr>
          <w:lang w:eastAsia="lt-LT"/>
        </w:rPr>
        <w:t>mus.</w:t>
      </w:r>
    </w:p>
    <w:p w14:paraId="0902FC35" w14:textId="77777777" w:rsidR="00E36D0B" w:rsidRDefault="0041021E"/>
    <w:p w14:paraId="0902FC36" w14:textId="77777777" w:rsidR="00E36D0B" w:rsidRDefault="0041021E">
      <w:pPr>
        <w:suppressAutoHyphens/>
        <w:jc w:val="center"/>
        <w:rPr>
          <w:b/>
          <w:lang w:eastAsia="lt-LT"/>
        </w:rPr>
      </w:pPr>
      <w:r>
        <w:rPr>
          <w:b/>
          <w:lang w:eastAsia="lt-LT"/>
        </w:rPr>
        <w:t>VI</w:t>
      </w:r>
      <w:r>
        <w:rPr>
          <w:b/>
          <w:lang w:eastAsia="lt-LT"/>
        </w:rPr>
        <w:t xml:space="preserve"> SKYRIUS</w:t>
      </w:r>
    </w:p>
    <w:p w14:paraId="0902FC37" w14:textId="77777777" w:rsidR="00E36D0B" w:rsidRDefault="0041021E">
      <w:pPr>
        <w:suppressAutoHyphens/>
        <w:jc w:val="center"/>
        <w:rPr>
          <w:b/>
          <w:lang w:eastAsia="lt-LT"/>
        </w:rPr>
      </w:pPr>
      <w:r>
        <w:rPr>
          <w:b/>
          <w:lang w:eastAsia="lt-LT"/>
        </w:rPr>
        <w:t>NUOŽULNOS (PANDUSAI ARBA RAMPOS)</w:t>
      </w:r>
    </w:p>
    <w:p w14:paraId="0902FC38" w14:textId="77777777" w:rsidR="00E36D0B" w:rsidRDefault="00E36D0B">
      <w:pPr>
        <w:suppressAutoHyphens/>
        <w:jc w:val="center"/>
        <w:rPr>
          <w:b/>
          <w:lang w:eastAsia="lt-LT"/>
        </w:rPr>
      </w:pPr>
    </w:p>
    <w:p w14:paraId="0902FC39" w14:textId="77777777" w:rsidR="00E36D0B" w:rsidRDefault="0041021E" w:rsidP="0041021E">
      <w:pPr>
        <w:suppressAutoHyphens/>
        <w:ind w:firstLine="709"/>
        <w:jc w:val="both"/>
        <w:rPr>
          <w:lang w:eastAsia="lt-LT"/>
        </w:rPr>
      </w:pPr>
      <w:r>
        <w:rPr>
          <w:lang w:eastAsia="lt-LT"/>
        </w:rPr>
        <w:t>21</w:t>
      </w:r>
      <w:r>
        <w:rPr>
          <w:lang w:eastAsia="lt-LT"/>
        </w:rPr>
        <w:t xml:space="preserve">. Kai pėsčiųjų judėjimo maršruto išilginis nuolydis miestų, miestelių ir kaimų viešosiose erdvėse, statinių išorėje ar viduje viršija 1:20 (5 proc.), turi būti įrengtos </w:t>
      </w:r>
      <w:proofErr w:type="spellStart"/>
      <w:r>
        <w:rPr>
          <w:lang w:eastAsia="lt-LT"/>
        </w:rPr>
        <w:t>nuožulnos</w:t>
      </w:r>
      <w:proofErr w:type="spellEnd"/>
      <w:r>
        <w:rPr>
          <w:lang w:eastAsia="lt-LT"/>
        </w:rPr>
        <w:t xml:space="preserve"> vadovaujantis </w:t>
      </w:r>
      <w:r>
        <w:rPr>
          <w:lang w:eastAsia="lt-LT"/>
        </w:rPr>
        <w:t>ISO 21542:2011 8 skyriumi [5.10]. Nuožulnų išilginiai nuolydžiai, didžiausias pakilimo aukštis ir kiti parametrai nustatyti ISO 21542:2011 8 skyriaus 2 lentelėje [5.10].</w:t>
      </w:r>
    </w:p>
    <w:p w14:paraId="0902FC3A" w14:textId="77777777" w:rsidR="00E36D0B" w:rsidRDefault="0041021E" w:rsidP="0041021E">
      <w:pPr>
        <w:suppressAutoHyphens/>
        <w:ind w:firstLine="709"/>
        <w:jc w:val="both"/>
        <w:rPr>
          <w:lang w:eastAsia="lt-LT"/>
        </w:rPr>
      </w:pPr>
      <w:r>
        <w:rPr>
          <w:lang w:eastAsia="lt-LT"/>
        </w:rPr>
        <w:t>22</w:t>
      </w:r>
      <w:r>
        <w:rPr>
          <w:lang w:eastAsia="lt-LT"/>
        </w:rPr>
        <w:t xml:space="preserve">. </w:t>
      </w:r>
      <w:proofErr w:type="spellStart"/>
      <w:r>
        <w:rPr>
          <w:lang w:eastAsia="lt-LT"/>
        </w:rPr>
        <w:t>Nuožulnas</w:t>
      </w:r>
      <w:proofErr w:type="spellEnd"/>
      <w:r>
        <w:rPr>
          <w:lang w:eastAsia="lt-LT"/>
        </w:rPr>
        <w:t xml:space="preserve"> įrengiant kultūros paveldo objektuose ar esamuose statiniuose, kai d</w:t>
      </w:r>
      <w:r>
        <w:rPr>
          <w:lang w:eastAsia="lt-LT"/>
        </w:rPr>
        <w:t>ėl kultūros paveldo objekto vertingųjų savybių turinčių elementų (dalių) ar dėl esamo statinio konstrukcinių savybių neįmanoma išlaikyti ISO 21542:2011 8 skyriaus 2 lentelėje [5.10] nustatytų reikalavimų, statinio projekte pagrindus, gali būti įrengiamos d</w:t>
      </w:r>
      <w:r>
        <w:rPr>
          <w:lang w:eastAsia="lt-LT"/>
        </w:rPr>
        <w:t xml:space="preserve">idesnio nuolydžio </w:t>
      </w:r>
      <w:proofErr w:type="spellStart"/>
      <w:r>
        <w:rPr>
          <w:lang w:eastAsia="lt-LT"/>
        </w:rPr>
        <w:t>nuožulnos</w:t>
      </w:r>
      <w:proofErr w:type="spellEnd"/>
      <w:r>
        <w:rPr>
          <w:lang w:eastAsia="lt-LT"/>
        </w:rPr>
        <w:t xml:space="preserve"> vadovaujantis ISO 21542:2011 8 skyriaus 3 lentelėje [5.10] nustatytais parametrais.</w:t>
      </w:r>
    </w:p>
    <w:p w14:paraId="0902FC3B" w14:textId="77777777" w:rsidR="00E36D0B" w:rsidRDefault="0041021E" w:rsidP="0041021E">
      <w:pPr>
        <w:suppressAutoHyphens/>
        <w:ind w:firstLine="709"/>
        <w:jc w:val="both"/>
        <w:rPr>
          <w:lang w:eastAsia="lt-LT"/>
        </w:rPr>
      </w:pPr>
      <w:r>
        <w:rPr>
          <w:lang w:eastAsia="lt-LT"/>
        </w:rPr>
        <w:t>23</w:t>
      </w:r>
      <w:r>
        <w:rPr>
          <w:lang w:eastAsia="lt-LT"/>
        </w:rPr>
        <w:t>. Išilgai pėsčiųjų takų, nuožulnų, terasų ar kitų pakylų saugos priemonės parenkamos pagal ISO 21542:2011 9 skyrių [5.10].</w:t>
      </w:r>
    </w:p>
    <w:p w14:paraId="0902FC3C" w14:textId="77777777" w:rsidR="00E36D0B" w:rsidRDefault="0041021E" w:rsidP="0041021E">
      <w:pPr>
        <w:suppressAutoHyphens/>
        <w:ind w:firstLine="709"/>
        <w:jc w:val="both"/>
        <w:rPr>
          <w:lang w:eastAsia="lt-LT"/>
        </w:rPr>
      </w:pPr>
      <w:r>
        <w:rPr>
          <w:lang w:eastAsia="lt-LT"/>
        </w:rPr>
        <w:t>24</w:t>
      </w:r>
      <w:r>
        <w:rPr>
          <w:lang w:eastAsia="lt-LT"/>
        </w:rPr>
        <w:t>. Kai įre</w:t>
      </w:r>
      <w:r>
        <w:rPr>
          <w:lang w:eastAsia="lt-LT"/>
        </w:rPr>
        <w:t xml:space="preserve">ngiamos </w:t>
      </w:r>
      <w:proofErr w:type="spellStart"/>
      <w:r>
        <w:rPr>
          <w:lang w:eastAsia="lt-LT"/>
        </w:rPr>
        <w:t>nuožulnos</w:t>
      </w:r>
      <w:proofErr w:type="spellEnd"/>
      <w:r>
        <w:rPr>
          <w:lang w:eastAsia="lt-LT"/>
        </w:rPr>
        <w:t xml:space="preserve"> viena priešais kitą, tarp jų turi būti įrengiama ne mažesnė kaip 1500 mm ilgio horizontali atkarpa. </w:t>
      </w:r>
    </w:p>
    <w:p w14:paraId="0902FC3D" w14:textId="77777777" w:rsidR="00E36D0B" w:rsidRDefault="0041021E">
      <w:pPr>
        <w:pBdr>
          <w:top w:val="nil"/>
          <w:left w:val="nil"/>
          <w:bottom w:val="nil"/>
          <w:right w:val="nil"/>
          <w:between w:val="nil"/>
        </w:pBdr>
        <w:suppressAutoHyphens/>
        <w:rPr>
          <w:b/>
          <w:lang w:eastAsia="lt-LT"/>
        </w:rPr>
      </w:pPr>
    </w:p>
    <w:p w14:paraId="0902FC3E" w14:textId="77777777" w:rsidR="00E36D0B" w:rsidRDefault="0041021E">
      <w:pPr>
        <w:pBdr>
          <w:top w:val="nil"/>
          <w:left w:val="nil"/>
          <w:bottom w:val="nil"/>
          <w:right w:val="nil"/>
          <w:between w:val="nil"/>
        </w:pBdr>
        <w:suppressAutoHyphens/>
        <w:jc w:val="center"/>
        <w:rPr>
          <w:b/>
          <w:lang w:eastAsia="lt-LT"/>
        </w:rPr>
      </w:pPr>
      <w:r>
        <w:rPr>
          <w:b/>
          <w:lang w:eastAsia="lt-LT"/>
        </w:rPr>
        <w:t>VII</w:t>
      </w:r>
      <w:r>
        <w:rPr>
          <w:b/>
          <w:lang w:eastAsia="lt-LT"/>
        </w:rPr>
        <w:t xml:space="preserve"> SKYRIUS</w:t>
      </w:r>
    </w:p>
    <w:p w14:paraId="0902FC3F" w14:textId="77777777" w:rsidR="00E36D0B" w:rsidRDefault="0041021E">
      <w:pPr>
        <w:pBdr>
          <w:top w:val="nil"/>
          <w:left w:val="nil"/>
          <w:bottom w:val="nil"/>
          <w:right w:val="nil"/>
          <w:between w:val="nil"/>
        </w:pBdr>
        <w:suppressAutoHyphens/>
        <w:jc w:val="center"/>
        <w:rPr>
          <w:b/>
          <w:lang w:eastAsia="lt-LT"/>
        </w:rPr>
      </w:pPr>
      <w:r>
        <w:rPr>
          <w:b/>
          <w:lang w:eastAsia="lt-LT"/>
        </w:rPr>
        <w:t>ĮĖJIMAI Į PASTATĄ</w:t>
      </w:r>
    </w:p>
    <w:p w14:paraId="0902FC40" w14:textId="77777777" w:rsidR="00E36D0B" w:rsidRDefault="00E36D0B">
      <w:pPr>
        <w:pBdr>
          <w:top w:val="nil"/>
          <w:left w:val="nil"/>
          <w:bottom w:val="nil"/>
          <w:right w:val="nil"/>
          <w:between w:val="nil"/>
        </w:pBdr>
        <w:suppressAutoHyphens/>
        <w:rPr>
          <w:b/>
          <w:lang w:eastAsia="lt-LT"/>
        </w:rPr>
      </w:pPr>
    </w:p>
    <w:p w14:paraId="0902FC41" w14:textId="77777777" w:rsidR="00E36D0B" w:rsidRDefault="0041021E" w:rsidP="0041021E">
      <w:pPr>
        <w:pBdr>
          <w:top w:val="nil"/>
          <w:left w:val="nil"/>
          <w:bottom w:val="nil"/>
          <w:right w:val="nil"/>
          <w:between w:val="nil"/>
        </w:pBdr>
        <w:suppressAutoHyphens/>
        <w:ind w:firstLine="709"/>
        <w:jc w:val="both"/>
        <w:rPr>
          <w:lang w:eastAsia="lt-LT"/>
        </w:rPr>
      </w:pPr>
      <w:r>
        <w:rPr>
          <w:lang w:eastAsia="lt-LT"/>
        </w:rPr>
        <w:t>25</w:t>
      </w:r>
      <w:r>
        <w:rPr>
          <w:lang w:eastAsia="lt-LT"/>
        </w:rPr>
        <w:t xml:space="preserve">. Įėjimai į pastatą įrengiami vadovaujantis ISO 21542:2011 10 skyriaus [5.10] reikalavimais. </w:t>
      </w:r>
      <w:r>
        <w:rPr>
          <w:lang w:eastAsia="lt-LT"/>
        </w:rPr>
        <w:t>Kai į esamą statinį dėl nepakankamos erdvės prie įėjimo neįmanoma įrengti 1 500 mm x 1 500 mm dydžio manevravimo erdvės, statinio projekte pagrindus, ji gali būti sumažinta iki 1 200 mm x 1 200 mm dydžio.</w:t>
      </w:r>
    </w:p>
    <w:p w14:paraId="0902FC42" w14:textId="77777777" w:rsidR="00E36D0B" w:rsidRDefault="0041021E" w:rsidP="0041021E">
      <w:pPr>
        <w:pBdr>
          <w:top w:val="nil"/>
          <w:left w:val="nil"/>
          <w:bottom w:val="nil"/>
          <w:right w:val="nil"/>
          <w:between w:val="nil"/>
        </w:pBdr>
        <w:suppressAutoHyphens/>
        <w:ind w:firstLine="709"/>
        <w:jc w:val="both"/>
        <w:rPr>
          <w:lang w:eastAsia="lt-LT"/>
        </w:rPr>
      </w:pPr>
      <w:r>
        <w:rPr>
          <w:lang w:eastAsia="lt-LT"/>
        </w:rPr>
        <w:t>26</w:t>
      </w:r>
      <w:r>
        <w:rPr>
          <w:lang w:eastAsia="lt-LT"/>
        </w:rPr>
        <w:t>. Pagrindinio įėjimo ir įėjimų, jei yra daugi</w:t>
      </w:r>
      <w:r>
        <w:rPr>
          <w:lang w:eastAsia="lt-LT"/>
        </w:rPr>
        <w:t>au nei vienas vienodo statuso įėjimų, tarpdurio minimalus laisvasis plotis turi būti ne mažesnis kaip 850 mm.</w:t>
      </w:r>
    </w:p>
    <w:p w14:paraId="0902FC43" w14:textId="77777777" w:rsidR="00E36D0B" w:rsidRDefault="0041021E">
      <w:pPr>
        <w:suppressAutoHyphens/>
        <w:rPr>
          <w:b/>
          <w:lang w:eastAsia="lt-LT"/>
        </w:rPr>
      </w:pPr>
    </w:p>
    <w:p w14:paraId="0902FC44" w14:textId="77777777" w:rsidR="00E36D0B" w:rsidRDefault="0041021E">
      <w:pPr>
        <w:pBdr>
          <w:top w:val="nil"/>
          <w:left w:val="nil"/>
          <w:bottom w:val="nil"/>
          <w:right w:val="nil"/>
          <w:between w:val="nil"/>
        </w:pBdr>
        <w:suppressAutoHyphens/>
        <w:jc w:val="center"/>
        <w:rPr>
          <w:b/>
          <w:lang w:eastAsia="lt-LT"/>
        </w:rPr>
      </w:pPr>
      <w:r>
        <w:rPr>
          <w:b/>
          <w:lang w:eastAsia="lt-LT"/>
        </w:rPr>
        <w:t>VIII</w:t>
      </w:r>
      <w:r>
        <w:rPr>
          <w:b/>
          <w:lang w:eastAsia="lt-LT"/>
        </w:rPr>
        <w:t xml:space="preserve"> SKYRIUS</w:t>
      </w:r>
    </w:p>
    <w:p w14:paraId="0902FC45" w14:textId="77777777" w:rsidR="00E36D0B" w:rsidRDefault="0041021E">
      <w:pPr>
        <w:pBdr>
          <w:top w:val="nil"/>
          <w:left w:val="nil"/>
          <w:bottom w:val="nil"/>
          <w:right w:val="nil"/>
          <w:between w:val="nil"/>
        </w:pBdr>
        <w:suppressAutoHyphens/>
        <w:jc w:val="center"/>
        <w:rPr>
          <w:b/>
          <w:lang w:eastAsia="lt-LT"/>
        </w:rPr>
      </w:pPr>
      <w:r>
        <w:rPr>
          <w:b/>
          <w:lang w:eastAsia="lt-LT"/>
        </w:rPr>
        <w:t>HORIZONTALUSIS IR VERTIKALUSIS JUDĖJIMAS</w:t>
      </w:r>
    </w:p>
    <w:p w14:paraId="0902FC46" w14:textId="77777777" w:rsidR="00E36D0B" w:rsidRDefault="00E36D0B">
      <w:pPr>
        <w:pBdr>
          <w:top w:val="nil"/>
          <w:left w:val="nil"/>
          <w:bottom w:val="nil"/>
          <w:right w:val="nil"/>
          <w:between w:val="nil"/>
        </w:pBdr>
        <w:suppressAutoHyphens/>
        <w:rPr>
          <w:b/>
          <w:lang w:eastAsia="lt-LT"/>
        </w:rPr>
      </w:pPr>
    </w:p>
    <w:p w14:paraId="0902FC47" w14:textId="77777777" w:rsidR="00E36D0B" w:rsidRDefault="0041021E">
      <w:pPr>
        <w:suppressAutoHyphens/>
        <w:ind w:firstLine="709"/>
        <w:rPr>
          <w:lang w:eastAsia="lt-LT"/>
        </w:rPr>
      </w:pPr>
      <w:r>
        <w:rPr>
          <w:lang w:eastAsia="lt-LT"/>
        </w:rPr>
        <w:t>27</w:t>
      </w:r>
      <w:r>
        <w:rPr>
          <w:lang w:eastAsia="lt-LT"/>
        </w:rPr>
        <w:t>. Horizontaliojo judėjimo zonos turi būti įrengtos pagal ISO 21542:2011 11 sky</w:t>
      </w:r>
      <w:r>
        <w:rPr>
          <w:lang w:eastAsia="lt-LT"/>
        </w:rPr>
        <w:t xml:space="preserve">rių [5.10]. </w:t>
      </w:r>
    </w:p>
    <w:p w14:paraId="0902FC48" w14:textId="77777777" w:rsidR="00E36D0B" w:rsidRDefault="0041021E" w:rsidP="0041021E">
      <w:pPr>
        <w:pBdr>
          <w:top w:val="nil"/>
          <w:left w:val="nil"/>
          <w:bottom w:val="nil"/>
          <w:right w:val="nil"/>
          <w:between w:val="nil"/>
        </w:pBdr>
        <w:suppressAutoHyphens/>
        <w:ind w:firstLine="709"/>
        <w:jc w:val="both"/>
        <w:rPr>
          <w:lang w:eastAsia="lt-LT"/>
        </w:rPr>
      </w:pPr>
      <w:r>
        <w:rPr>
          <w:lang w:eastAsia="lt-LT"/>
        </w:rPr>
        <w:t>28</w:t>
      </w:r>
      <w:r>
        <w:rPr>
          <w:lang w:eastAsia="lt-LT"/>
        </w:rPr>
        <w:t xml:space="preserve">. Vertikaliojo judėjimo sistemą sudaro laiptai, liftai, </w:t>
      </w:r>
      <w:proofErr w:type="spellStart"/>
      <w:r>
        <w:rPr>
          <w:lang w:eastAsia="lt-LT"/>
        </w:rPr>
        <w:t>nuožulnos</w:t>
      </w:r>
      <w:proofErr w:type="spellEnd"/>
      <w:r>
        <w:rPr>
          <w:lang w:eastAsia="lt-LT"/>
        </w:rPr>
        <w:t>, eskalatoriai, slenkantys takai (judamieji perėjimo takai), keliamosios platformos. Vertikaliojo judėjimo sistema įrengiama vadovaujantis ISO 21542:2011 12 skyriumi [5.10]</w:t>
      </w:r>
      <w:r>
        <w:rPr>
          <w:lang w:eastAsia="lt-LT"/>
        </w:rPr>
        <w:t>. Jei slenkančių takų nuolydis daugiau kaip 6 procentai, turi būti įrengiamas liftas, vadovaujantis šio Reglamento VIII skyriumi.</w:t>
      </w:r>
    </w:p>
    <w:p w14:paraId="0902FC49" w14:textId="77777777" w:rsidR="00E36D0B" w:rsidRDefault="0041021E" w:rsidP="0041021E">
      <w:pPr>
        <w:suppressAutoHyphens/>
        <w:ind w:firstLine="709"/>
        <w:jc w:val="both"/>
        <w:rPr>
          <w:lang w:eastAsia="lt-LT"/>
        </w:rPr>
      </w:pPr>
      <w:r>
        <w:rPr>
          <w:lang w:eastAsia="lt-LT"/>
        </w:rPr>
        <w:t>29</w:t>
      </w:r>
      <w:r>
        <w:rPr>
          <w:lang w:eastAsia="lt-LT"/>
        </w:rPr>
        <w:t>. Laiptai įrengiami vadovaujantis ISO 21542:2011 13 skyriuje [5.10] nustatytais reikalavimais.</w:t>
      </w:r>
    </w:p>
    <w:p w14:paraId="0902FC4A" w14:textId="77777777" w:rsidR="00E36D0B" w:rsidRDefault="0041021E" w:rsidP="0041021E">
      <w:pPr>
        <w:suppressAutoHyphens/>
        <w:ind w:firstLine="709"/>
        <w:jc w:val="both"/>
        <w:rPr>
          <w:lang w:eastAsia="lt-LT"/>
        </w:rPr>
      </w:pPr>
      <w:r>
        <w:rPr>
          <w:lang w:eastAsia="lt-LT"/>
        </w:rPr>
        <w:t>30</w:t>
      </w:r>
      <w:r>
        <w:rPr>
          <w:lang w:eastAsia="lt-LT"/>
        </w:rPr>
        <w:t xml:space="preserve">. Turėklai takuose </w:t>
      </w:r>
      <w:r>
        <w:rPr>
          <w:lang w:eastAsia="lt-LT"/>
        </w:rPr>
        <w:t xml:space="preserve">su pakopomis, nuolaidžiuose takuose, </w:t>
      </w:r>
      <w:proofErr w:type="spellStart"/>
      <w:r>
        <w:rPr>
          <w:lang w:eastAsia="lt-LT"/>
        </w:rPr>
        <w:t>nuožulnose</w:t>
      </w:r>
      <w:proofErr w:type="spellEnd"/>
      <w:r>
        <w:rPr>
          <w:lang w:eastAsia="lt-LT"/>
        </w:rPr>
        <w:t xml:space="preserve"> ir laiptuose įrengiami vadovaujantis ISO 21542:2011 14 skyriuje [5.10] nustatytais reikalavimais. Kai kultūros paveldo objektuose dėl vertingųjų savybių turinčių elementų (dalių) negali būti įrengti turėklai </w:t>
      </w:r>
      <w:r>
        <w:rPr>
          <w:lang w:eastAsia="lt-LT"/>
        </w:rPr>
        <w:t>pagal ISO 21542:2011 14 skyriaus [5.10] reikalavimus, pagrindus projekte, turėklai gali būti įrengiami vienoje takų su pakopomis, nuolaidžių takų, nuožulnų ir laiptų pusėje.</w:t>
      </w:r>
    </w:p>
    <w:p w14:paraId="0902FC4B" w14:textId="77777777" w:rsidR="00E36D0B" w:rsidRDefault="0041021E" w:rsidP="0041021E">
      <w:pPr>
        <w:suppressAutoHyphens/>
        <w:ind w:firstLine="709"/>
        <w:jc w:val="both"/>
        <w:rPr>
          <w:lang w:eastAsia="lt-LT"/>
        </w:rPr>
      </w:pPr>
      <w:r>
        <w:rPr>
          <w:lang w:eastAsia="lt-LT"/>
        </w:rPr>
        <w:t>31</w:t>
      </w:r>
      <w:r>
        <w:rPr>
          <w:lang w:eastAsia="lt-LT"/>
        </w:rPr>
        <w:t>. Eskalatoriai ir judantys takai įrengiami vadovaujantis ISO 21542:2011 17 s</w:t>
      </w:r>
      <w:r>
        <w:rPr>
          <w:lang w:eastAsia="lt-LT"/>
        </w:rPr>
        <w:t>kyriaus [5.10] reikalavimais.</w:t>
      </w:r>
    </w:p>
    <w:p w14:paraId="0902FC4C" w14:textId="77777777" w:rsidR="00E36D0B" w:rsidRDefault="0041021E">
      <w:pPr>
        <w:pBdr>
          <w:top w:val="nil"/>
          <w:left w:val="nil"/>
          <w:bottom w:val="nil"/>
          <w:right w:val="nil"/>
          <w:between w:val="nil"/>
        </w:pBdr>
        <w:suppressAutoHyphens/>
        <w:rPr>
          <w:b/>
          <w:lang w:eastAsia="lt-LT"/>
        </w:rPr>
      </w:pPr>
    </w:p>
    <w:p w14:paraId="0902FC4D" w14:textId="77777777" w:rsidR="00E36D0B" w:rsidRDefault="0041021E">
      <w:pPr>
        <w:pBdr>
          <w:top w:val="nil"/>
          <w:left w:val="nil"/>
          <w:bottom w:val="nil"/>
          <w:right w:val="nil"/>
          <w:between w:val="nil"/>
        </w:pBdr>
        <w:suppressAutoHyphens/>
        <w:jc w:val="center"/>
        <w:rPr>
          <w:b/>
          <w:lang w:eastAsia="lt-LT"/>
        </w:rPr>
      </w:pPr>
      <w:r>
        <w:rPr>
          <w:b/>
          <w:lang w:eastAsia="lt-LT"/>
        </w:rPr>
        <w:t>IX</w:t>
      </w:r>
      <w:r>
        <w:rPr>
          <w:b/>
          <w:lang w:eastAsia="lt-LT"/>
        </w:rPr>
        <w:t xml:space="preserve"> SKYRIUS</w:t>
      </w:r>
    </w:p>
    <w:p w14:paraId="0902FC4E" w14:textId="77777777" w:rsidR="00E36D0B" w:rsidRDefault="0041021E">
      <w:pPr>
        <w:pBdr>
          <w:top w:val="nil"/>
          <w:left w:val="nil"/>
          <w:bottom w:val="nil"/>
          <w:right w:val="nil"/>
          <w:between w:val="nil"/>
        </w:pBdr>
        <w:suppressAutoHyphens/>
        <w:jc w:val="center"/>
        <w:rPr>
          <w:b/>
          <w:lang w:eastAsia="lt-LT"/>
        </w:rPr>
      </w:pPr>
      <w:r>
        <w:rPr>
          <w:b/>
          <w:lang w:eastAsia="lt-LT"/>
        </w:rPr>
        <w:t>LIFTAI, VERTIKALIOS IR NUOLAIDŽIOS KELIAMOSIOS PLATFORMOS</w:t>
      </w:r>
    </w:p>
    <w:p w14:paraId="0902FC4F" w14:textId="77777777" w:rsidR="00E36D0B" w:rsidRDefault="00E36D0B">
      <w:pPr>
        <w:pBdr>
          <w:top w:val="nil"/>
          <w:left w:val="nil"/>
          <w:bottom w:val="nil"/>
          <w:right w:val="nil"/>
          <w:between w:val="nil"/>
        </w:pBdr>
        <w:suppressAutoHyphens/>
        <w:rPr>
          <w:b/>
          <w:lang w:eastAsia="lt-LT"/>
        </w:rPr>
      </w:pPr>
    </w:p>
    <w:p w14:paraId="0902FC50" w14:textId="77777777" w:rsidR="00E36D0B" w:rsidRDefault="0041021E" w:rsidP="0041021E">
      <w:pPr>
        <w:suppressAutoHyphens/>
        <w:ind w:firstLine="709"/>
        <w:jc w:val="both"/>
        <w:rPr>
          <w:lang w:eastAsia="lt-LT"/>
        </w:rPr>
      </w:pPr>
      <w:r>
        <w:rPr>
          <w:lang w:eastAsia="lt-LT"/>
        </w:rPr>
        <w:t>32</w:t>
      </w:r>
      <w:r>
        <w:rPr>
          <w:lang w:eastAsia="lt-LT"/>
        </w:rPr>
        <w:t>. Prieinamumui į visus statinio aukštus ir lygius liftai įrengiami taikant Reglamentą ir standartą LST EN 81-70:2018 [5.13].</w:t>
      </w:r>
    </w:p>
    <w:p w14:paraId="0902FC51" w14:textId="77777777" w:rsidR="00E36D0B" w:rsidRDefault="0041021E" w:rsidP="0041021E">
      <w:pPr>
        <w:suppressAutoHyphens/>
        <w:ind w:firstLine="709"/>
        <w:jc w:val="both"/>
        <w:rPr>
          <w:lang w:eastAsia="lt-LT"/>
        </w:rPr>
      </w:pPr>
      <w:r>
        <w:rPr>
          <w:lang w:eastAsia="lt-LT"/>
        </w:rPr>
        <w:t>33</w:t>
      </w:r>
      <w:r>
        <w:rPr>
          <w:lang w:eastAsia="lt-LT"/>
        </w:rPr>
        <w:t>. Lifto iškv</w:t>
      </w:r>
      <w:r>
        <w:rPr>
          <w:lang w:eastAsia="lt-LT"/>
        </w:rPr>
        <w:t xml:space="preserve">ietimo ir valdymo mygtukai turi būti sumontuoti 800 – 1100 mm aukštyje nuo grindų ar priėjimo prie lifto paviršiaus. </w:t>
      </w:r>
    </w:p>
    <w:p w14:paraId="0902FC52" w14:textId="77777777" w:rsidR="00E36D0B" w:rsidRDefault="0041021E" w:rsidP="0041021E">
      <w:pPr>
        <w:suppressAutoHyphens/>
        <w:ind w:firstLine="709"/>
        <w:jc w:val="both"/>
        <w:rPr>
          <w:lang w:eastAsia="lt-LT"/>
        </w:rPr>
      </w:pPr>
      <w:r>
        <w:rPr>
          <w:lang w:eastAsia="lt-LT"/>
        </w:rPr>
        <w:t>34</w:t>
      </w:r>
      <w:r>
        <w:rPr>
          <w:lang w:eastAsia="lt-LT"/>
        </w:rPr>
        <w:t>. Priešais liftą turi būti palikta ne mažesnė kaip 1500 mm x 1500 mm laisva aikštelė. Kultūros paveldo objektuose ar esamuose statin</w:t>
      </w:r>
      <w:r>
        <w:rPr>
          <w:lang w:eastAsia="lt-LT"/>
        </w:rPr>
        <w:t>iuose, kai dėl kultūros paveldo objekto vertingųjų savybių turinčių elementų (dalių) ar dėl esamo statinio konstrukcinių savybių neįmanoma įrengti nurodyto dydžio aikštelę priešais liftą, ji gali būti sumažinta iki 1 200 mm x 1 200 mm. Kai priešais liftą į</w:t>
      </w:r>
      <w:r>
        <w:rPr>
          <w:lang w:eastAsia="lt-LT"/>
        </w:rPr>
        <w:t xml:space="preserve">rengiamas takas, jo plotis negali būti įskaičiuojamas į priešais liftą esančios aikštelės plotį. Jeigu priešais įėjimą į liftą yra laiptai, minimalus atstumas nuo lifto durų iki laiptų 2 400 mm. Manevravimo erdvė turi būti apšviesta ne mažiau, kaip 100 </w:t>
      </w:r>
      <w:proofErr w:type="spellStart"/>
      <w:r>
        <w:rPr>
          <w:lang w:eastAsia="lt-LT"/>
        </w:rPr>
        <w:t>lx</w:t>
      </w:r>
      <w:proofErr w:type="spellEnd"/>
      <w:r>
        <w:rPr>
          <w:lang w:eastAsia="lt-LT"/>
        </w:rPr>
        <w:t xml:space="preserve"> </w:t>
      </w:r>
      <w:r>
        <w:rPr>
          <w:lang w:eastAsia="lt-LT"/>
        </w:rPr>
        <w:t xml:space="preserve">apšvietimu. Atstumas tarp liftų, esančių vienas priešais kitą, turi būti ne mažesnis kaip 3 000 mm. </w:t>
      </w:r>
    </w:p>
    <w:p w14:paraId="0902FC53" w14:textId="77777777" w:rsidR="00E36D0B" w:rsidRDefault="0041021E" w:rsidP="0041021E">
      <w:pPr>
        <w:suppressAutoHyphens/>
        <w:ind w:firstLine="709"/>
        <w:jc w:val="both"/>
        <w:rPr>
          <w:lang w:eastAsia="lt-LT"/>
        </w:rPr>
      </w:pPr>
      <w:r>
        <w:rPr>
          <w:lang w:eastAsia="lt-LT"/>
        </w:rPr>
        <w:t>35</w:t>
      </w:r>
      <w:r>
        <w:rPr>
          <w:lang w:eastAsia="lt-LT"/>
        </w:rPr>
        <w:t>. Kultūros paveldo objektuose ar esamuose statiniuose, kai dėl kultūros paveldo objekto vertingųjų savybių turinčių elementų (dalių) ar dėl esamo sta</w:t>
      </w:r>
      <w:r>
        <w:rPr>
          <w:lang w:eastAsia="lt-LT"/>
        </w:rPr>
        <w:t xml:space="preserve">tinio konstrukcinių savybių neįmanoma įrengti liftų,  statinio projekte pagrindus, įrengiami riboto </w:t>
      </w:r>
      <w:proofErr w:type="spellStart"/>
      <w:r>
        <w:rPr>
          <w:lang w:eastAsia="lt-LT"/>
        </w:rPr>
        <w:t>judumo</w:t>
      </w:r>
      <w:proofErr w:type="spellEnd"/>
      <w:r>
        <w:rPr>
          <w:lang w:eastAsia="lt-LT"/>
        </w:rPr>
        <w:t xml:space="preserve"> asmenis, tarp jų  ir judantiems vežimėliais, prieinami vertikalūs keltuvai pagal standartą  LST EN 81-41:2010 [5.12].</w:t>
      </w:r>
    </w:p>
    <w:p w14:paraId="0902FC54" w14:textId="77777777" w:rsidR="00E36D0B" w:rsidRDefault="0041021E" w:rsidP="0041021E">
      <w:pPr>
        <w:suppressAutoHyphens/>
        <w:ind w:firstLine="709"/>
        <w:jc w:val="both"/>
        <w:rPr>
          <w:b/>
          <w:lang w:eastAsia="lt-LT"/>
        </w:rPr>
      </w:pPr>
      <w:r>
        <w:rPr>
          <w:lang w:eastAsia="lt-LT"/>
        </w:rPr>
        <w:t>36</w:t>
      </w:r>
      <w:r>
        <w:rPr>
          <w:lang w:eastAsia="lt-LT"/>
        </w:rPr>
        <w:t>. Kultūros paveldo objekt</w:t>
      </w:r>
      <w:r>
        <w:rPr>
          <w:lang w:eastAsia="lt-LT"/>
        </w:rPr>
        <w:t xml:space="preserve">uose ar esamuose statiniuose, kai dėl kultūros paveldo objekto vertingųjų savybių turinčių elementų (dalių) ar dėl esamo statinio konstrukcinių savybių lifto ar vertikalaus keltuvo įrengti neįmanoma, statinio projekte pagrindus, gali būti įrengiami laiptų </w:t>
      </w:r>
      <w:r>
        <w:rPr>
          <w:lang w:eastAsia="lt-LT"/>
        </w:rPr>
        <w:t xml:space="preserve">keltuvai (platformos) pagal standarto LST EN 81-41:2010 [5.12] reikalavimus nesiaurinant minimalaus norminio </w:t>
      </w:r>
      <w:proofErr w:type="spellStart"/>
      <w:r>
        <w:rPr>
          <w:lang w:eastAsia="lt-LT"/>
        </w:rPr>
        <w:t>evakavimo(si</w:t>
      </w:r>
      <w:proofErr w:type="spellEnd"/>
      <w:r>
        <w:rPr>
          <w:lang w:eastAsia="lt-LT"/>
        </w:rPr>
        <w:t>) kelio pločio.</w:t>
      </w:r>
    </w:p>
    <w:p w14:paraId="0902FC55" w14:textId="77777777" w:rsidR="00E36D0B" w:rsidRDefault="0041021E" w:rsidP="0041021E">
      <w:pPr>
        <w:pBdr>
          <w:top w:val="nil"/>
          <w:left w:val="nil"/>
          <w:bottom w:val="nil"/>
          <w:right w:val="nil"/>
          <w:between w:val="nil"/>
        </w:pBdr>
        <w:suppressAutoHyphens/>
        <w:jc w:val="both"/>
        <w:rPr>
          <w:lang w:eastAsia="lt-LT"/>
        </w:rPr>
      </w:pPr>
    </w:p>
    <w:p w14:paraId="0902FC56" w14:textId="77777777" w:rsidR="00E36D0B" w:rsidRDefault="0041021E">
      <w:pPr>
        <w:pBdr>
          <w:top w:val="nil"/>
          <w:left w:val="nil"/>
          <w:bottom w:val="nil"/>
          <w:right w:val="nil"/>
          <w:between w:val="nil"/>
        </w:pBdr>
        <w:suppressAutoHyphens/>
        <w:jc w:val="center"/>
        <w:rPr>
          <w:b/>
          <w:lang w:eastAsia="lt-LT"/>
        </w:rPr>
      </w:pPr>
      <w:r>
        <w:rPr>
          <w:b/>
          <w:lang w:eastAsia="lt-LT"/>
        </w:rPr>
        <w:t>X</w:t>
      </w:r>
      <w:r>
        <w:rPr>
          <w:b/>
          <w:lang w:eastAsia="lt-LT"/>
        </w:rPr>
        <w:t xml:space="preserve"> SKYRIUS</w:t>
      </w:r>
    </w:p>
    <w:p w14:paraId="0902FC57" w14:textId="77777777" w:rsidR="00E36D0B" w:rsidRDefault="0041021E">
      <w:pPr>
        <w:pBdr>
          <w:top w:val="nil"/>
          <w:left w:val="nil"/>
          <w:bottom w:val="nil"/>
          <w:right w:val="nil"/>
          <w:between w:val="nil"/>
        </w:pBdr>
        <w:suppressAutoHyphens/>
        <w:jc w:val="center"/>
        <w:rPr>
          <w:b/>
          <w:lang w:eastAsia="lt-LT"/>
        </w:rPr>
      </w:pPr>
      <w:r>
        <w:rPr>
          <w:b/>
          <w:lang w:eastAsia="lt-LT"/>
        </w:rPr>
        <w:t>DURYS IR LANGAI</w:t>
      </w:r>
    </w:p>
    <w:p w14:paraId="0902FC58" w14:textId="77777777" w:rsidR="00E36D0B" w:rsidRDefault="00E36D0B">
      <w:pPr>
        <w:pBdr>
          <w:top w:val="nil"/>
          <w:left w:val="nil"/>
          <w:bottom w:val="nil"/>
          <w:right w:val="nil"/>
          <w:between w:val="nil"/>
        </w:pBdr>
        <w:suppressAutoHyphens/>
        <w:rPr>
          <w:b/>
          <w:lang w:eastAsia="lt-LT"/>
        </w:rPr>
      </w:pPr>
    </w:p>
    <w:p w14:paraId="0902FC59" w14:textId="77777777" w:rsidR="00E36D0B" w:rsidRDefault="0041021E" w:rsidP="0041021E">
      <w:pPr>
        <w:suppressAutoHyphens/>
        <w:ind w:firstLine="709"/>
        <w:jc w:val="both"/>
        <w:rPr>
          <w:lang w:eastAsia="lt-LT"/>
        </w:rPr>
      </w:pPr>
      <w:r>
        <w:rPr>
          <w:lang w:eastAsia="lt-LT"/>
        </w:rPr>
        <w:t>37</w:t>
      </w:r>
      <w:r>
        <w:rPr>
          <w:lang w:eastAsia="lt-LT"/>
        </w:rPr>
        <w:t>. Durys įrengiamos vadovaujantis ISO 21542:2011 18 skyriaus [5.10] reikalavimai</w:t>
      </w:r>
      <w:r>
        <w:rPr>
          <w:lang w:eastAsia="lt-LT"/>
        </w:rPr>
        <w:t xml:space="preserve">s. Prieinamose judėjimo trasose ir kitais teisės aktuose nurodytais atvejais mažiausias durų laisvasis </w:t>
      </w:r>
      <w:r>
        <w:rPr>
          <w:lang w:eastAsia="lt-LT"/>
        </w:rPr>
        <w:lastRenderedPageBreak/>
        <w:t xml:space="preserve">plotis turi būti 850 mm, jeigu didesnio </w:t>
      </w:r>
      <w:proofErr w:type="spellStart"/>
      <w:r>
        <w:rPr>
          <w:lang w:eastAsia="lt-LT"/>
        </w:rPr>
        <w:t>evakavimo(si</w:t>
      </w:r>
      <w:proofErr w:type="spellEnd"/>
      <w:r>
        <w:rPr>
          <w:lang w:eastAsia="lt-LT"/>
        </w:rPr>
        <w:t>) kelių durų pločio nenustato gaisrinę saugą reglamentuojantys teisės aktai.</w:t>
      </w:r>
    </w:p>
    <w:p w14:paraId="0902FC5A" w14:textId="77777777" w:rsidR="00E36D0B" w:rsidRDefault="0041021E"/>
    <w:p w14:paraId="0902FC5B" w14:textId="77777777" w:rsidR="00E36D0B" w:rsidRDefault="0041021E">
      <w:pPr>
        <w:suppressAutoHyphens/>
        <w:jc w:val="center"/>
        <w:rPr>
          <w:b/>
          <w:lang w:eastAsia="lt-LT"/>
        </w:rPr>
      </w:pPr>
      <w:r>
        <w:rPr>
          <w:b/>
          <w:lang w:eastAsia="lt-LT"/>
        </w:rPr>
        <w:t>XI</w:t>
      </w:r>
      <w:r>
        <w:rPr>
          <w:b/>
          <w:lang w:eastAsia="lt-LT"/>
        </w:rPr>
        <w:t xml:space="preserve"> SKYRIUS</w:t>
      </w:r>
    </w:p>
    <w:p w14:paraId="0902FC5C" w14:textId="77777777" w:rsidR="00E36D0B" w:rsidRDefault="0041021E">
      <w:pPr>
        <w:suppressAutoHyphens/>
        <w:jc w:val="center"/>
        <w:rPr>
          <w:b/>
          <w:lang w:eastAsia="lt-LT"/>
        </w:rPr>
      </w:pPr>
      <w:r>
        <w:rPr>
          <w:b/>
          <w:lang w:eastAsia="lt-LT"/>
        </w:rPr>
        <w:t>GYVENAMIEJI PASTATAI</w:t>
      </w:r>
    </w:p>
    <w:p w14:paraId="0902FC5D" w14:textId="77777777" w:rsidR="00E36D0B" w:rsidRDefault="00E36D0B">
      <w:pPr>
        <w:suppressAutoHyphens/>
        <w:jc w:val="center"/>
        <w:rPr>
          <w:b/>
          <w:lang w:eastAsia="lt-LT"/>
        </w:rPr>
      </w:pPr>
    </w:p>
    <w:p w14:paraId="0902FC5E" w14:textId="77777777" w:rsidR="00E36D0B" w:rsidRDefault="0041021E" w:rsidP="0041021E">
      <w:pPr>
        <w:suppressAutoHyphens/>
        <w:ind w:firstLine="697"/>
        <w:jc w:val="both"/>
        <w:rPr>
          <w:rFonts w:eastAsia="Arial"/>
          <w:lang w:eastAsia="lt-LT"/>
        </w:rPr>
      </w:pPr>
      <w:r>
        <w:rPr>
          <w:lang w:eastAsia="lt-LT"/>
        </w:rPr>
        <w:t>38</w:t>
      </w:r>
      <w:r>
        <w:rPr>
          <w:lang w:eastAsia="lt-LT"/>
        </w:rPr>
        <w:t xml:space="preserve">. </w:t>
      </w:r>
      <w:r>
        <w:rPr>
          <w:rFonts w:eastAsia="Arial"/>
          <w:highlight w:val="white"/>
          <w:lang w:eastAsia="lt-LT"/>
        </w:rPr>
        <w:t>Gyvenamųjų pastatų visų aukštų gyvenamųjų patalpų (butų ir kt.), o lifto neturinčiuose gyvenamuosiuose pastatuose – pirmojo aukšto gyvenamųjų patalpų (butų ir kt.), erdvės ar patalpos turi būti suprojektuotos taip, kad išlaika</w:t>
      </w:r>
      <w:r>
        <w:rPr>
          <w:rFonts w:eastAsia="Arial"/>
          <w:highlight w:val="white"/>
          <w:lang w:eastAsia="lt-LT"/>
        </w:rPr>
        <w:t xml:space="preserve">nt ISO 21542:2011 26.18 papunktyje ir 27, 28 ir 29 skyriuose [5.10] nustatytus matmenų reikalavimus, statinį (jo dalį) paprastojo remonto darbais galima būtų pritaikyti riboto </w:t>
      </w:r>
      <w:proofErr w:type="spellStart"/>
      <w:r>
        <w:rPr>
          <w:rFonts w:eastAsia="Arial"/>
          <w:highlight w:val="white"/>
          <w:lang w:eastAsia="lt-LT"/>
        </w:rPr>
        <w:t>judumo</w:t>
      </w:r>
      <w:proofErr w:type="spellEnd"/>
      <w:r>
        <w:rPr>
          <w:rFonts w:eastAsia="Arial"/>
          <w:highlight w:val="white"/>
          <w:lang w:eastAsia="lt-LT"/>
        </w:rPr>
        <w:t xml:space="preserve"> žmonių poreikiams. </w:t>
      </w:r>
      <w:r>
        <w:rPr>
          <w:rFonts w:eastAsia="Arial"/>
          <w:lang w:eastAsia="lt-LT"/>
        </w:rPr>
        <w:t>Butuose virtuvės patalpa turi būti ne mažesnė kaip 9 m</w:t>
      </w:r>
      <w:r>
        <w:rPr>
          <w:rFonts w:eastAsia="Arial"/>
          <w:vertAlign w:val="superscript"/>
          <w:lang w:eastAsia="lt-LT"/>
        </w:rPr>
        <w:t>2</w:t>
      </w:r>
      <w:r>
        <w:rPr>
          <w:rFonts w:eastAsia="Arial"/>
          <w:lang w:eastAsia="lt-LT"/>
        </w:rPr>
        <w:t>.</w:t>
      </w:r>
    </w:p>
    <w:p w14:paraId="0902FC5F" w14:textId="77777777" w:rsidR="00E36D0B" w:rsidRDefault="0041021E" w:rsidP="0041021E">
      <w:pPr>
        <w:suppressAutoHyphens/>
        <w:ind w:firstLine="697"/>
        <w:jc w:val="both"/>
        <w:rPr>
          <w:lang w:eastAsia="lt-LT"/>
        </w:rPr>
      </w:pPr>
      <w:r>
        <w:rPr>
          <w:lang w:eastAsia="lt-LT"/>
        </w:rPr>
        <w:t>39</w:t>
      </w:r>
      <w:r>
        <w:rPr>
          <w:lang w:eastAsia="lt-LT"/>
        </w:rPr>
        <w:t>. Valdymo įranga, įtaisai ir jungikliai gyvenamuosiuose pastatuose ir patalpose įrengiami pagal ISO 21542:2011 36 skyriaus [5.10] reikalavimus.</w:t>
      </w:r>
    </w:p>
    <w:p w14:paraId="0902FC60" w14:textId="77777777" w:rsidR="00E36D0B" w:rsidRDefault="0041021E" w:rsidP="0041021E">
      <w:pPr>
        <w:suppressAutoHyphens/>
        <w:ind w:firstLine="697"/>
        <w:jc w:val="both"/>
        <w:rPr>
          <w:lang w:eastAsia="lt-LT"/>
        </w:rPr>
      </w:pPr>
      <w:r>
        <w:rPr>
          <w:lang w:eastAsia="lt-LT"/>
        </w:rPr>
        <w:t>40</w:t>
      </w:r>
      <w:r>
        <w:rPr>
          <w:lang w:eastAsia="lt-LT"/>
        </w:rPr>
        <w:t xml:space="preserve">. Gyvenamuosiuose pastatuose ir patalpose durys turi atitikti šio Reglamento 25, 26 ir 37 punktų </w:t>
      </w:r>
      <w:r>
        <w:rPr>
          <w:lang w:eastAsia="lt-LT"/>
        </w:rPr>
        <w:t>reikalavimus.</w:t>
      </w:r>
    </w:p>
    <w:p w14:paraId="0902FC61" w14:textId="77777777" w:rsidR="00E36D0B" w:rsidRDefault="0041021E"/>
    <w:p w14:paraId="0902FC62" w14:textId="77777777" w:rsidR="00E36D0B" w:rsidRDefault="0041021E">
      <w:pPr>
        <w:pBdr>
          <w:top w:val="nil"/>
          <w:left w:val="nil"/>
          <w:bottom w:val="nil"/>
          <w:right w:val="nil"/>
          <w:between w:val="nil"/>
        </w:pBdr>
        <w:suppressAutoHyphens/>
        <w:jc w:val="center"/>
        <w:rPr>
          <w:b/>
          <w:lang w:eastAsia="lt-LT"/>
        </w:rPr>
      </w:pPr>
      <w:r>
        <w:rPr>
          <w:b/>
          <w:lang w:eastAsia="lt-LT"/>
        </w:rPr>
        <w:t>XII</w:t>
      </w:r>
      <w:r>
        <w:rPr>
          <w:b/>
          <w:lang w:eastAsia="lt-LT"/>
        </w:rPr>
        <w:t xml:space="preserve"> SKYRIUS</w:t>
      </w:r>
    </w:p>
    <w:p w14:paraId="0902FC63" w14:textId="77777777" w:rsidR="00E36D0B" w:rsidRDefault="0041021E">
      <w:pPr>
        <w:pBdr>
          <w:top w:val="nil"/>
          <w:left w:val="nil"/>
          <w:bottom w:val="nil"/>
          <w:right w:val="nil"/>
          <w:between w:val="nil"/>
        </w:pBdr>
        <w:suppressAutoHyphens/>
        <w:jc w:val="center"/>
        <w:rPr>
          <w:b/>
          <w:lang w:eastAsia="lt-LT"/>
        </w:rPr>
      </w:pPr>
      <w:r>
        <w:rPr>
          <w:b/>
          <w:lang w:eastAsia="lt-LT"/>
        </w:rPr>
        <w:t xml:space="preserve">PRIĖMIMO ZONOS, PREKYSTALIAI, STALAI, </w:t>
      </w:r>
      <w:r>
        <w:rPr>
          <w:b/>
          <w:caps/>
          <w:lang w:eastAsia="lt-LT"/>
        </w:rPr>
        <w:t>KASOS ir rūbinės</w:t>
      </w:r>
    </w:p>
    <w:p w14:paraId="0902FC64" w14:textId="77777777" w:rsidR="00E36D0B" w:rsidRDefault="00E36D0B">
      <w:pPr>
        <w:pBdr>
          <w:top w:val="nil"/>
          <w:left w:val="nil"/>
          <w:bottom w:val="nil"/>
          <w:right w:val="nil"/>
          <w:between w:val="nil"/>
        </w:pBdr>
        <w:suppressAutoHyphens/>
        <w:jc w:val="center"/>
        <w:rPr>
          <w:b/>
          <w:lang w:eastAsia="lt-LT"/>
        </w:rPr>
      </w:pPr>
    </w:p>
    <w:p w14:paraId="0902FC65" w14:textId="77777777" w:rsidR="00E36D0B" w:rsidRDefault="0041021E" w:rsidP="0041021E">
      <w:pPr>
        <w:suppressAutoHyphens/>
        <w:ind w:firstLine="709"/>
        <w:jc w:val="both"/>
        <w:rPr>
          <w:lang w:eastAsia="lt-LT"/>
        </w:rPr>
      </w:pPr>
      <w:r>
        <w:rPr>
          <w:lang w:eastAsia="lt-LT"/>
        </w:rPr>
        <w:t>41</w:t>
      </w:r>
      <w:r>
        <w:rPr>
          <w:lang w:eastAsia="lt-LT"/>
        </w:rPr>
        <w:t>.</w:t>
      </w:r>
      <w:r>
        <w:rPr>
          <w:b/>
          <w:lang w:eastAsia="lt-LT"/>
        </w:rPr>
        <w:t xml:space="preserve"> </w:t>
      </w:r>
      <w:r>
        <w:rPr>
          <w:lang w:eastAsia="lt-LT"/>
        </w:rPr>
        <w:t>Priėmimo zonos, prekystaliai, stalai, kasos ir rūbinės įrengiamos vadovaujantis ISO 21542:2011 19 ir 20 skyriais [5.10].</w:t>
      </w:r>
    </w:p>
    <w:p w14:paraId="0902FC66" w14:textId="77777777" w:rsidR="00E36D0B" w:rsidRDefault="0041021E">
      <w:pPr>
        <w:pBdr>
          <w:top w:val="nil"/>
          <w:left w:val="nil"/>
          <w:bottom w:val="nil"/>
          <w:right w:val="nil"/>
          <w:between w:val="nil"/>
        </w:pBdr>
        <w:suppressAutoHyphens/>
        <w:rPr>
          <w:b/>
          <w:lang w:eastAsia="lt-LT"/>
        </w:rPr>
      </w:pPr>
    </w:p>
    <w:p w14:paraId="0902FC67" w14:textId="77777777" w:rsidR="00E36D0B" w:rsidRDefault="0041021E">
      <w:pPr>
        <w:pBdr>
          <w:top w:val="nil"/>
          <w:left w:val="nil"/>
          <w:bottom w:val="nil"/>
          <w:right w:val="nil"/>
          <w:between w:val="nil"/>
        </w:pBdr>
        <w:suppressAutoHyphens/>
        <w:jc w:val="center"/>
        <w:rPr>
          <w:b/>
          <w:lang w:eastAsia="lt-LT"/>
        </w:rPr>
      </w:pPr>
      <w:r>
        <w:rPr>
          <w:b/>
          <w:lang w:eastAsia="lt-LT"/>
        </w:rPr>
        <w:t>XIII</w:t>
      </w:r>
      <w:r>
        <w:rPr>
          <w:b/>
          <w:lang w:eastAsia="lt-LT"/>
        </w:rPr>
        <w:t xml:space="preserve"> SKYRIUS</w:t>
      </w:r>
    </w:p>
    <w:p w14:paraId="0902FC68" w14:textId="77777777" w:rsidR="00E36D0B" w:rsidRDefault="0041021E">
      <w:pPr>
        <w:pBdr>
          <w:top w:val="nil"/>
          <w:left w:val="nil"/>
          <w:bottom w:val="nil"/>
          <w:right w:val="nil"/>
          <w:between w:val="nil"/>
        </w:pBdr>
        <w:suppressAutoHyphens/>
        <w:jc w:val="center"/>
        <w:rPr>
          <w:b/>
          <w:lang w:eastAsia="lt-LT"/>
        </w:rPr>
      </w:pPr>
      <w:r>
        <w:rPr>
          <w:b/>
          <w:lang w:eastAsia="lt-LT"/>
        </w:rPr>
        <w:t>AUDITORIJOS, KONCE</w:t>
      </w:r>
      <w:r>
        <w:rPr>
          <w:b/>
          <w:lang w:eastAsia="lt-LT"/>
        </w:rPr>
        <w:t>RTŲ SALĖS, SPORTO ARENOS IR PANAŠIOS SĖDIMOSIOS VIETOS</w:t>
      </w:r>
    </w:p>
    <w:p w14:paraId="0902FC69" w14:textId="77777777" w:rsidR="00E36D0B" w:rsidRDefault="00E36D0B"/>
    <w:p w14:paraId="0902FC6A" w14:textId="77777777" w:rsidR="00E36D0B" w:rsidRDefault="0041021E" w:rsidP="0041021E">
      <w:pPr>
        <w:suppressAutoHyphens/>
        <w:ind w:firstLine="709"/>
        <w:jc w:val="both"/>
        <w:rPr>
          <w:lang w:eastAsia="lt-LT"/>
        </w:rPr>
      </w:pPr>
      <w:r>
        <w:rPr>
          <w:lang w:eastAsia="lt-LT"/>
        </w:rPr>
        <w:t>42</w:t>
      </w:r>
      <w:r>
        <w:rPr>
          <w:lang w:eastAsia="lt-LT"/>
        </w:rPr>
        <w:t xml:space="preserve">. Visuomeninės paskirties statinių (patalpų) salėse, arenose, auditorijose ir kitose žiūrovams skirtose sėdimose vietose (toliau – salės) privalo būti įrengtas 2 lentelėje nurodytas skaičius </w:t>
      </w:r>
      <w:r>
        <w:rPr>
          <w:lang w:eastAsia="lt-LT"/>
        </w:rPr>
        <w:t>vietų vežimėliais judantiems asmenims.</w:t>
      </w:r>
    </w:p>
    <w:p w14:paraId="0902FC6B" w14:textId="4735C878" w:rsidR="00E36D0B" w:rsidRDefault="0041021E" w:rsidP="0041021E">
      <w:pPr>
        <w:suppressAutoHyphens/>
        <w:ind w:firstLine="709"/>
        <w:jc w:val="both"/>
        <w:rPr>
          <w:lang w:eastAsia="lt-LT"/>
        </w:rPr>
      </w:pPr>
      <w:r>
        <w:rPr>
          <w:lang w:eastAsia="lt-LT"/>
        </w:rPr>
        <w:t>43</w:t>
      </w:r>
      <w:r>
        <w:rPr>
          <w:lang w:eastAsia="lt-LT"/>
        </w:rPr>
        <w:t xml:space="preserve">. Salėse riboto </w:t>
      </w:r>
      <w:proofErr w:type="spellStart"/>
      <w:r>
        <w:rPr>
          <w:lang w:eastAsia="lt-LT"/>
        </w:rPr>
        <w:t>judumo</w:t>
      </w:r>
      <w:proofErr w:type="spellEnd"/>
      <w:r>
        <w:rPr>
          <w:lang w:eastAsia="lt-LT"/>
        </w:rPr>
        <w:t xml:space="preserve"> asmenims vietos ir kitos zonos įrengiamos vadovaujantis ISO 21542:2011 21, 22, 23, 25 ir 37 skyriuose [5.10] ir Reglamento šiame skyriuje numatytais reikalavimais.</w:t>
      </w:r>
    </w:p>
    <w:p w14:paraId="0902FC6C" w14:textId="1D3BA86C" w:rsidR="00E36D0B" w:rsidRDefault="00E36D0B">
      <w:pPr>
        <w:suppressAutoHyphens/>
        <w:ind w:firstLine="62"/>
        <w:rPr>
          <w:lang w:eastAsia="lt-LT"/>
        </w:rPr>
      </w:pPr>
    </w:p>
    <w:p w14:paraId="0902FC6D" w14:textId="01B3A3C6" w:rsidR="00E36D0B" w:rsidRDefault="0041021E">
      <w:pPr>
        <w:suppressAutoHyphens/>
        <w:jc w:val="right"/>
        <w:rPr>
          <w:lang w:eastAsia="lt-LT"/>
        </w:rPr>
      </w:pPr>
      <w:r>
        <w:rPr>
          <w:lang w:eastAsia="lt-LT"/>
        </w:rPr>
        <w:t>2</w:t>
      </w:r>
      <w:r>
        <w:rPr>
          <w:lang w:eastAsia="lt-LT"/>
        </w:rPr>
        <w:t xml:space="preserve"> lentelė</w:t>
      </w:r>
    </w:p>
    <w:p w14:paraId="0902FC6E" w14:textId="5993D564" w:rsidR="00E36D0B" w:rsidRDefault="0041021E">
      <w:pPr>
        <w:suppressAutoHyphens/>
        <w:jc w:val="center"/>
        <w:rPr>
          <w:lang w:eastAsia="lt-LT"/>
        </w:rPr>
      </w:pPr>
      <w:r>
        <w:rPr>
          <w:lang w:eastAsia="lt-LT"/>
        </w:rPr>
        <w:t>Vietų ska</w:t>
      </w:r>
      <w:r>
        <w:rPr>
          <w:lang w:eastAsia="lt-LT"/>
        </w:rPr>
        <w:t>ičius vežimėliais judantiems asmenims</w:t>
      </w:r>
    </w:p>
    <w:p w14:paraId="0902FC6F" w14:textId="03786383" w:rsidR="00E36D0B" w:rsidRDefault="00E36D0B"/>
    <w:tbl>
      <w:tblPr>
        <w:tblW w:w="988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2475"/>
        <w:gridCol w:w="3435"/>
        <w:gridCol w:w="3975"/>
      </w:tblGrid>
      <w:tr w:rsidR="00E36D0B" w14:paraId="0902FC73" w14:textId="77777777">
        <w:trPr>
          <w:trHeight w:val="740"/>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2FC70" w14:textId="749CD661" w:rsidR="00E36D0B" w:rsidRDefault="0041021E">
            <w:pPr>
              <w:suppressAutoHyphens/>
              <w:jc w:val="center"/>
              <w:rPr>
                <w:b/>
                <w:lang w:eastAsia="lt-LT"/>
              </w:rPr>
            </w:pPr>
            <w:r>
              <w:rPr>
                <w:b/>
                <w:lang w:eastAsia="lt-LT"/>
              </w:rPr>
              <w:t>Sėdimų vietų skaičius salėje</w:t>
            </w:r>
          </w:p>
        </w:tc>
        <w:tc>
          <w:tcPr>
            <w:tcW w:w="34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02FC71" w14:textId="77777777" w:rsidR="00E36D0B" w:rsidRDefault="0041021E">
            <w:pPr>
              <w:suppressAutoHyphens/>
              <w:jc w:val="center"/>
              <w:rPr>
                <w:b/>
                <w:lang w:eastAsia="lt-LT"/>
              </w:rPr>
            </w:pPr>
            <w:r>
              <w:rPr>
                <w:b/>
                <w:lang w:eastAsia="lt-LT"/>
              </w:rPr>
              <w:t>Minimalus skaičius įrengtų  vietų vežimėliais judantiems asmenims</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02FC72" w14:textId="77777777" w:rsidR="00E36D0B" w:rsidRDefault="0041021E">
            <w:pPr>
              <w:suppressAutoHyphens/>
              <w:jc w:val="center"/>
              <w:rPr>
                <w:b/>
                <w:lang w:eastAsia="lt-LT"/>
              </w:rPr>
            </w:pPr>
            <w:r>
              <w:rPr>
                <w:b/>
                <w:lang w:eastAsia="lt-LT"/>
              </w:rPr>
              <w:t>Minimalus skaičius sėdimų vietų su pakeliamais ranktūriais ar be ranktūrių persėdimui iš vežimėlio</w:t>
            </w:r>
          </w:p>
        </w:tc>
      </w:tr>
      <w:tr w:rsidR="00E36D0B" w14:paraId="0902FC77" w14:textId="77777777">
        <w:trPr>
          <w:trHeight w:val="48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2FC74" w14:textId="77777777" w:rsidR="00E36D0B" w:rsidRDefault="0041021E">
            <w:pPr>
              <w:suppressAutoHyphens/>
              <w:jc w:val="center"/>
              <w:rPr>
                <w:lang w:eastAsia="lt-LT"/>
              </w:rPr>
            </w:pPr>
            <w:r>
              <w:rPr>
                <w:lang w:eastAsia="lt-LT"/>
              </w:rPr>
              <w:t>iki 40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14:paraId="0902FC75" w14:textId="77777777" w:rsidR="00E36D0B" w:rsidRDefault="0041021E">
            <w:pPr>
              <w:suppressAutoHyphens/>
              <w:jc w:val="center"/>
              <w:rPr>
                <w:lang w:eastAsia="lt-LT"/>
              </w:rPr>
            </w:pPr>
            <w:r>
              <w:rPr>
                <w:lang w:eastAsia="lt-LT"/>
              </w:rPr>
              <w:t>2</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0902FC76" w14:textId="77777777" w:rsidR="00E36D0B" w:rsidRDefault="0041021E">
            <w:pPr>
              <w:suppressAutoHyphens/>
              <w:jc w:val="center"/>
              <w:rPr>
                <w:lang w:eastAsia="lt-LT"/>
              </w:rPr>
            </w:pPr>
            <w:r>
              <w:rPr>
                <w:lang w:eastAsia="lt-LT"/>
              </w:rPr>
              <w:t xml:space="preserve">1, kai </w:t>
            </w:r>
            <w:r>
              <w:rPr>
                <w:lang w:eastAsia="lt-LT"/>
              </w:rPr>
              <w:t>salėje daugiau kaip 20 vietų</w:t>
            </w:r>
          </w:p>
        </w:tc>
      </w:tr>
      <w:tr w:rsidR="00E36D0B" w14:paraId="0902FC7B" w14:textId="77777777">
        <w:trPr>
          <w:trHeight w:val="48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2FC78" w14:textId="77777777" w:rsidR="00E36D0B" w:rsidRDefault="0041021E">
            <w:pPr>
              <w:suppressAutoHyphens/>
              <w:jc w:val="center"/>
              <w:rPr>
                <w:lang w:eastAsia="lt-LT"/>
              </w:rPr>
            </w:pPr>
            <w:r>
              <w:rPr>
                <w:lang w:eastAsia="lt-LT"/>
              </w:rPr>
              <w:t>41 – 80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14:paraId="0902FC79" w14:textId="77777777" w:rsidR="00E36D0B" w:rsidRDefault="0041021E">
            <w:pPr>
              <w:suppressAutoHyphens/>
              <w:jc w:val="center"/>
              <w:rPr>
                <w:lang w:eastAsia="lt-LT"/>
              </w:rPr>
            </w:pPr>
            <w:r>
              <w:rPr>
                <w:lang w:eastAsia="lt-LT"/>
              </w:rPr>
              <w:t>3</w:t>
            </w:r>
          </w:p>
        </w:tc>
        <w:tc>
          <w:tcPr>
            <w:tcW w:w="397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0902FC7A" w14:textId="77777777" w:rsidR="00E36D0B" w:rsidRDefault="0041021E">
            <w:pPr>
              <w:suppressAutoHyphens/>
              <w:jc w:val="center"/>
              <w:rPr>
                <w:lang w:eastAsia="lt-LT"/>
              </w:rPr>
            </w:pPr>
            <w:r>
              <w:rPr>
                <w:lang w:eastAsia="lt-LT"/>
              </w:rPr>
              <w:t>2</w:t>
            </w:r>
          </w:p>
        </w:tc>
      </w:tr>
      <w:tr w:rsidR="00E36D0B" w14:paraId="0902FC7F" w14:textId="77777777">
        <w:trPr>
          <w:trHeight w:val="48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2FC7C" w14:textId="77777777" w:rsidR="00E36D0B" w:rsidRDefault="0041021E">
            <w:pPr>
              <w:suppressAutoHyphens/>
              <w:jc w:val="center"/>
              <w:rPr>
                <w:lang w:eastAsia="lt-LT"/>
              </w:rPr>
            </w:pPr>
            <w:r>
              <w:rPr>
                <w:lang w:eastAsia="lt-LT"/>
              </w:rPr>
              <w:t>81 – 100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14:paraId="0902FC7D" w14:textId="77777777" w:rsidR="00E36D0B" w:rsidRDefault="0041021E">
            <w:pPr>
              <w:suppressAutoHyphens/>
              <w:jc w:val="center"/>
              <w:rPr>
                <w:lang w:eastAsia="lt-LT"/>
              </w:rPr>
            </w:pPr>
            <w:r>
              <w:rPr>
                <w:lang w:eastAsia="lt-LT"/>
              </w:rPr>
              <w:t>4</w:t>
            </w:r>
          </w:p>
        </w:tc>
        <w:tc>
          <w:tcPr>
            <w:tcW w:w="3975" w:type="dxa"/>
            <w:vMerge/>
            <w:tcBorders>
              <w:top w:val="nil"/>
              <w:left w:val="nil"/>
              <w:bottom w:val="single" w:sz="8" w:space="0" w:color="000000"/>
              <w:right w:val="single" w:sz="8" w:space="0" w:color="000000"/>
            </w:tcBorders>
            <w:tcMar>
              <w:top w:w="100" w:type="dxa"/>
              <w:left w:w="100" w:type="dxa"/>
              <w:bottom w:w="100" w:type="dxa"/>
              <w:right w:w="100" w:type="dxa"/>
            </w:tcMar>
          </w:tcPr>
          <w:p w14:paraId="0902FC7E" w14:textId="77777777" w:rsidR="00E36D0B" w:rsidRDefault="00E36D0B">
            <w:pPr>
              <w:suppressAutoHyphens/>
              <w:jc w:val="center"/>
              <w:rPr>
                <w:lang w:eastAsia="lt-LT"/>
              </w:rPr>
            </w:pPr>
          </w:p>
        </w:tc>
      </w:tr>
      <w:tr w:rsidR="00E36D0B" w14:paraId="0902FC83" w14:textId="77777777">
        <w:trPr>
          <w:trHeight w:val="48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2FC80" w14:textId="77777777" w:rsidR="00E36D0B" w:rsidRDefault="0041021E">
            <w:pPr>
              <w:suppressAutoHyphens/>
              <w:jc w:val="center"/>
              <w:rPr>
                <w:lang w:eastAsia="lt-LT"/>
              </w:rPr>
            </w:pPr>
            <w:r>
              <w:rPr>
                <w:lang w:eastAsia="lt-LT"/>
              </w:rPr>
              <w:t>101 – 200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14:paraId="0902FC81" w14:textId="77777777" w:rsidR="00E36D0B" w:rsidRDefault="0041021E">
            <w:pPr>
              <w:suppressAutoHyphens/>
              <w:jc w:val="center"/>
              <w:rPr>
                <w:lang w:eastAsia="lt-LT"/>
              </w:rPr>
            </w:pPr>
            <w:r>
              <w:rPr>
                <w:lang w:eastAsia="lt-LT"/>
              </w:rPr>
              <w:t>5</w:t>
            </w:r>
          </w:p>
        </w:tc>
        <w:tc>
          <w:tcPr>
            <w:tcW w:w="397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0902FC82" w14:textId="77777777" w:rsidR="00E36D0B" w:rsidRDefault="0041021E">
            <w:pPr>
              <w:suppressAutoHyphens/>
              <w:jc w:val="center"/>
              <w:rPr>
                <w:lang w:eastAsia="lt-LT"/>
              </w:rPr>
            </w:pPr>
            <w:r>
              <w:rPr>
                <w:lang w:eastAsia="lt-LT"/>
              </w:rPr>
              <w:t>3</w:t>
            </w:r>
          </w:p>
        </w:tc>
      </w:tr>
      <w:tr w:rsidR="00E36D0B" w14:paraId="0902FC87" w14:textId="77777777">
        <w:trPr>
          <w:trHeight w:val="48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2FC84" w14:textId="77777777" w:rsidR="00E36D0B" w:rsidRDefault="0041021E">
            <w:pPr>
              <w:suppressAutoHyphens/>
              <w:jc w:val="center"/>
              <w:rPr>
                <w:lang w:eastAsia="lt-LT"/>
              </w:rPr>
            </w:pPr>
            <w:r>
              <w:rPr>
                <w:lang w:eastAsia="lt-LT"/>
              </w:rPr>
              <w:lastRenderedPageBreak/>
              <w:t>201 – 300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14:paraId="0902FC85" w14:textId="77777777" w:rsidR="00E36D0B" w:rsidRDefault="0041021E">
            <w:pPr>
              <w:suppressAutoHyphens/>
              <w:jc w:val="center"/>
              <w:rPr>
                <w:lang w:eastAsia="lt-LT"/>
              </w:rPr>
            </w:pPr>
            <w:r>
              <w:rPr>
                <w:lang w:eastAsia="lt-LT"/>
              </w:rPr>
              <w:t>6</w:t>
            </w:r>
          </w:p>
        </w:tc>
        <w:tc>
          <w:tcPr>
            <w:tcW w:w="3975" w:type="dxa"/>
            <w:vMerge/>
            <w:tcBorders>
              <w:top w:val="nil"/>
              <w:left w:val="nil"/>
              <w:bottom w:val="single" w:sz="8" w:space="0" w:color="000000"/>
              <w:right w:val="single" w:sz="8" w:space="0" w:color="000000"/>
            </w:tcBorders>
            <w:tcMar>
              <w:top w:w="100" w:type="dxa"/>
              <w:left w:w="100" w:type="dxa"/>
              <w:bottom w:w="100" w:type="dxa"/>
              <w:right w:w="100" w:type="dxa"/>
            </w:tcMar>
          </w:tcPr>
          <w:p w14:paraId="0902FC86" w14:textId="77777777" w:rsidR="00E36D0B" w:rsidRDefault="00E36D0B">
            <w:pPr>
              <w:suppressAutoHyphens/>
              <w:jc w:val="center"/>
              <w:rPr>
                <w:lang w:eastAsia="lt-LT"/>
              </w:rPr>
            </w:pPr>
          </w:p>
        </w:tc>
      </w:tr>
      <w:tr w:rsidR="00E36D0B" w14:paraId="0902FC8B" w14:textId="77777777">
        <w:trPr>
          <w:trHeight w:val="48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2FC88" w14:textId="77777777" w:rsidR="00E36D0B" w:rsidRDefault="0041021E">
            <w:pPr>
              <w:suppressAutoHyphens/>
              <w:jc w:val="center"/>
              <w:rPr>
                <w:lang w:eastAsia="lt-LT"/>
              </w:rPr>
            </w:pPr>
            <w:r>
              <w:rPr>
                <w:lang w:eastAsia="lt-LT"/>
              </w:rPr>
              <w:t>301 – 400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14:paraId="0902FC89" w14:textId="77777777" w:rsidR="00E36D0B" w:rsidRDefault="0041021E">
            <w:pPr>
              <w:suppressAutoHyphens/>
              <w:jc w:val="center"/>
              <w:rPr>
                <w:lang w:eastAsia="lt-LT"/>
              </w:rPr>
            </w:pPr>
            <w:r>
              <w:rPr>
                <w:lang w:eastAsia="lt-LT"/>
              </w:rPr>
              <w:t>7</w:t>
            </w:r>
          </w:p>
        </w:tc>
        <w:tc>
          <w:tcPr>
            <w:tcW w:w="3975" w:type="dxa"/>
            <w:vMerge/>
            <w:tcBorders>
              <w:top w:val="nil"/>
              <w:left w:val="nil"/>
              <w:bottom w:val="single" w:sz="8" w:space="0" w:color="000000"/>
              <w:right w:val="single" w:sz="8" w:space="0" w:color="000000"/>
            </w:tcBorders>
            <w:tcMar>
              <w:top w:w="100" w:type="dxa"/>
              <w:left w:w="100" w:type="dxa"/>
              <w:bottom w:w="100" w:type="dxa"/>
              <w:right w:w="100" w:type="dxa"/>
            </w:tcMar>
          </w:tcPr>
          <w:p w14:paraId="0902FC8A" w14:textId="77777777" w:rsidR="00E36D0B" w:rsidRDefault="00E36D0B">
            <w:pPr>
              <w:suppressAutoHyphens/>
              <w:jc w:val="center"/>
              <w:rPr>
                <w:lang w:eastAsia="lt-LT"/>
              </w:rPr>
            </w:pPr>
          </w:p>
        </w:tc>
      </w:tr>
      <w:tr w:rsidR="00E36D0B" w14:paraId="0902FC8F" w14:textId="77777777">
        <w:trPr>
          <w:trHeight w:val="48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2FC8C" w14:textId="77777777" w:rsidR="00E36D0B" w:rsidRDefault="0041021E">
            <w:pPr>
              <w:suppressAutoHyphens/>
              <w:jc w:val="center"/>
              <w:rPr>
                <w:lang w:eastAsia="lt-LT"/>
              </w:rPr>
            </w:pPr>
            <w:r>
              <w:rPr>
                <w:lang w:eastAsia="lt-LT"/>
              </w:rPr>
              <w:t>401 – 500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14:paraId="0902FC8D" w14:textId="77777777" w:rsidR="00E36D0B" w:rsidRDefault="0041021E">
            <w:pPr>
              <w:suppressAutoHyphens/>
              <w:jc w:val="center"/>
              <w:rPr>
                <w:lang w:eastAsia="lt-LT"/>
              </w:rPr>
            </w:pPr>
            <w:r>
              <w:rPr>
                <w:lang w:eastAsia="lt-LT"/>
              </w:rPr>
              <w:t>8</w:t>
            </w:r>
          </w:p>
        </w:tc>
        <w:tc>
          <w:tcPr>
            <w:tcW w:w="3975" w:type="dxa"/>
            <w:vMerge/>
            <w:tcBorders>
              <w:top w:val="nil"/>
              <w:left w:val="nil"/>
              <w:bottom w:val="single" w:sz="8" w:space="0" w:color="000000"/>
              <w:right w:val="single" w:sz="8" w:space="0" w:color="000000"/>
            </w:tcBorders>
            <w:tcMar>
              <w:top w:w="100" w:type="dxa"/>
              <w:left w:w="100" w:type="dxa"/>
              <w:bottom w:w="100" w:type="dxa"/>
              <w:right w:w="100" w:type="dxa"/>
            </w:tcMar>
          </w:tcPr>
          <w:p w14:paraId="0902FC8E" w14:textId="77777777" w:rsidR="00E36D0B" w:rsidRDefault="00E36D0B">
            <w:pPr>
              <w:suppressAutoHyphens/>
              <w:jc w:val="center"/>
              <w:rPr>
                <w:lang w:eastAsia="lt-LT"/>
              </w:rPr>
            </w:pPr>
          </w:p>
        </w:tc>
      </w:tr>
      <w:tr w:rsidR="00E36D0B" w14:paraId="0902FC93" w14:textId="77777777">
        <w:trPr>
          <w:trHeight w:val="48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2FC90" w14:textId="77777777" w:rsidR="00E36D0B" w:rsidRDefault="0041021E">
            <w:pPr>
              <w:suppressAutoHyphens/>
              <w:jc w:val="center"/>
              <w:rPr>
                <w:lang w:eastAsia="lt-LT"/>
              </w:rPr>
            </w:pPr>
            <w:r>
              <w:rPr>
                <w:lang w:eastAsia="lt-LT"/>
              </w:rPr>
              <w:t>501 – 5 000</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14:paraId="0902FC91" w14:textId="77777777" w:rsidR="00E36D0B" w:rsidRDefault="0041021E">
            <w:pPr>
              <w:suppressAutoHyphens/>
              <w:jc w:val="center"/>
              <w:rPr>
                <w:lang w:eastAsia="lt-LT"/>
              </w:rPr>
            </w:pPr>
            <w:r>
              <w:rPr>
                <w:lang w:eastAsia="lt-LT"/>
              </w:rPr>
              <w:t>7 ir daliai nuo 501 iki 5 000 vietų pridedant 1 vietą kas 150 vietų.</w:t>
            </w:r>
          </w:p>
        </w:tc>
        <w:tc>
          <w:tcPr>
            <w:tcW w:w="397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0902FC92" w14:textId="77777777" w:rsidR="00E36D0B" w:rsidRDefault="0041021E">
            <w:pPr>
              <w:suppressAutoHyphens/>
              <w:jc w:val="center"/>
              <w:rPr>
                <w:lang w:eastAsia="lt-LT"/>
              </w:rPr>
            </w:pPr>
            <w:r>
              <w:rPr>
                <w:lang w:eastAsia="lt-LT"/>
              </w:rPr>
              <w:t>0,25 procento nuo bendro sėdimų vietų skaičiaus salėje, bet ne</w:t>
            </w:r>
            <w:r>
              <w:rPr>
                <w:lang w:eastAsia="lt-LT"/>
              </w:rPr>
              <w:t xml:space="preserve"> mažiau kaip 4</w:t>
            </w:r>
          </w:p>
        </w:tc>
      </w:tr>
      <w:tr w:rsidR="00E36D0B" w14:paraId="0902FC97" w14:textId="77777777">
        <w:trPr>
          <w:trHeight w:val="48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2FC94" w14:textId="77777777" w:rsidR="00E36D0B" w:rsidRDefault="0041021E">
            <w:pPr>
              <w:suppressAutoHyphens/>
              <w:jc w:val="center"/>
              <w:rPr>
                <w:lang w:eastAsia="lt-LT"/>
              </w:rPr>
            </w:pPr>
            <w:r>
              <w:rPr>
                <w:lang w:eastAsia="lt-LT"/>
              </w:rPr>
              <w:t>5 001 ir daugiau</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14:paraId="0902FC95" w14:textId="77777777" w:rsidR="00E36D0B" w:rsidRDefault="0041021E">
            <w:pPr>
              <w:suppressAutoHyphens/>
              <w:jc w:val="center"/>
              <w:rPr>
                <w:lang w:eastAsia="lt-LT"/>
              </w:rPr>
            </w:pPr>
            <w:r>
              <w:rPr>
                <w:lang w:eastAsia="lt-LT"/>
              </w:rPr>
              <w:t>36 ir daliai virš 5 000 vietų pridedant 1 vietą kas 200 vietų.</w:t>
            </w:r>
          </w:p>
        </w:tc>
        <w:tc>
          <w:tcPr>
            <w:tcW w:w="3975" w:type="dxa"/>
            <w:vMerge/>
            <w:tcBorders>
              <w:top w:val="nil"/>
              <w:left w:val="nil"/>
              <w:bottom w:val="single" w:sz="8" w:space="0" w:color="000000"/>
              <w:right w:val="single" w:sz="8" w:space="0" w:color="000000"/>
            </w:tcBorders>
            <w:tcMar>
              <w:top w:w="100" w:type="dxa"/>
              <w:left w:w="100" w:type="dxa"/>
              <w:bottom w:w="100" w:type="dxa"/>
              <w:right w:w="100" w:type="dxa"/>
            </w:tcMar>
          </w:tcPr>
          <w:p w14:paraId="0902FC96" w14:textId="77777777" w:rsidR="00E36D0B" w:rsidRDefault="00E36D0B">
            <w:pPr>
              <w:suppressAutoHyphens/>
              <w:jc w:val="center"/>
              <w:rPr>
                <w:lang w:eastAsia="lt-LT"/>
              </w:rPr>
            </w:pPr>
          </w:p>
        </w:tc>
      </w:tr>
    </w:tbl>
    <w:p w14:paraId="0902FC98" w14:textId="2CF95774" w:rsidR="00E36D0B" w:rsidRDefault="00E36D0B">
      <w:pPr>
        <w:suppressAutoHyphens/>
        <w:rPr>
          <w:rFonts w:eastAsia="Arial"/>
          <w:sz w:val="22"/>
          <w:szCs w:val="22"/>
          <w:lang w:eastAsia="lt-LT"/>
        </w:rPr>
      </w:pPr>
    </w:p>
    <w:p w14:paraId="0902FC99" w14:textId="1EB813AB" w:rsidR="00E36D0B" w:rsidRDefault="0041021E" w:rsidP="0041021E">
      <w:pPr>
        <w:suppressAutoHyphens/>
        <w:jc w:val="both"/>
        <w:rPr>
          <w:lang w:eastAsia="lt-LT"/>
        </w:rPr>
      </w:pPr>
      <w:r>
        <w:rPr>
          <w:i/>
          <w:lang w:eastAsia="lt-LT"/>
        </w:rPr>
        <w:t>Pastaba.</w:t>
      </w:r>
      <w:r>
        <w:rPr>
          <w:lang w:eastAsia="lt-LT"/>
        </w:rPr>
        <w:t xml:space="preserve"> 2 lentelėje nurodytas vietų vežimėliais judantiems asmenims skaičius taikomas visoms salės zonoms (parteriams, ložėms, balkonams, kabinoms ir pan.), skaičiuojant kiekvienos salės zonos vietas atskirai.</w:t>
      </w:r>
    </w:p>
    <w:p w14:paraId="0902FC9A" w14:textId="7FB004E0" w:rsidR="00E36D0B" w:rsidRDefault="0041021E"/>
    <w:p w14:paraId="0902FC9B" w14:textId="77777777" w:rsidR="00E36D0B" w:rsidRDefault="0041021E" w:rsidP="0041021E">
      <w:pPr>
        <w:suppressAutoHyphens/>
        <w:ind w:firstLine="709"/>
        <w:jc w:val="both"/>
        <w:rPr>
          <w:lang w:eastAsia="lt-LT"/>
        </w:rPr>
      </w:pPr>
      <w:r>
        <w:rPr>
          <w:lang w:eastAsia="lt-LT"/>
        </w:rPr>
        <w:t>44</w:t>
      </w:r>
      <w:r>
        <w:rPr>
          <w:lang w:eastAsia="lt-LT"/>
        </w:rPr>
        <w:t>. Minimalus skaičius sėdimų vietų su pakelia</w:t>
      </w:r>
      <w:r>
        <w:rPr>
          <w:lang w:eastAsia="lt-LT"/>
        </w:rPr>
        <w:t xml:space="preserve">mais ranktūriais ar be ranktūrių persėdimui iš vežimėlio įrengiamas salėse su įtvirtintomis kėdėmis. Greta jų privalo būti palikta ne mažesnė kaip 900 x 1400 mm vieta vežimėliui. </w:t>
      </w:r>
    </w:p>
    <w:p w14:paraId="0902FC9C" w14:textId="77777777" w:rsidR="00E36D0B" w:rsidRDefault="0041021E" w:rsidP="0041021E">
      <w:pPr>
        <w:suppressAutoHyphens/>
        <w:ind w:firstLine="709"/>
        <w:jc w:val="both"/>
        <w:rPr>
          <w:lang w:eastAsia="lt-LT"/>
        </w:rPr>
      </w:pPr>
      <w:r>
        <w:rPr>
          <w:lang w:eastAsia="lt-LT"/>
        </w:rPr>
        <w:t>45</w:t>
      </w:r>
      <w:r>
        <w:rPr>
          <w:lang w:eastAsia="lt-LT"/>
        </w:rPr>
        <w:t>. Amfiteatro tipo salėse vietos vežimėliais judantiems asmenims prival</w:t>
      </w:r>
      <w:r>
        <w:rPr>
          <w:lang w:eastAsia="lt-LT"/>
        </w:rPr>
        <w:t>o būti įrengiamos ne mažiau kaip dviejuose lygiuose.</w:t>
      </w:r>
    </w:p>
    <w:p w14:paraId="0902FC9D" w14:textId="77777777" w:rsidR="00E36D0B" w:rsidRDefault="0041021E" w:rsidP="0041021E">
      <w:pPr>
        <w:suppressAutoHyphens/>
        <w:ind w:firstLine="709"/>
        <w:jc w:val="both"/>
        <w:rPr>
          <w:lang w:eastAsia="lt-LT"/>
        </w:rPr>
      </w:pPr>
      <w:r>
        <w:rPr>
          <w:lang w:eastAsia="lt-LT"/>
        </w:rPr>
        <w:t>46</w:t>
      </w:r>
      <w:r>
        <w:rPr>
          <w:lang w:eastAsia="lt-LT"/>
        </w:rPr>
        <w:t>. Ne mažiau pusė vežimėliais judantiems asmenims skirtų vietų salėse turi būti sugrupuotos po dvi, kitos – išdėstytos salėje, grupuojant jas su įprastinėmis salių kėdėmis. Šios vietos turi būti prieinamoje judėjimo trasoje, kuri turi būti ir evakuacijos iš</w:t>
      </w:r>
      <w:r>
        <w:rPr>
          <w:lang w:eastAsia="lt-LT"/>
        </w:rPr>
        <w:t xml:space="preserve"> statinių kelias. </w:t>
      </w:r>
    </w:p>
    <w:p w14:paraId="0902FC9E" w14:textId="77777777" w:rsidR="00E36D0B" w:rsidRDefault="0041021E" w:rsidP="0041021E">
      <w:pPr>
        <w:suppressAutoHyphens/>
        <w:ind w:firstLine="709"/>
        <w:jc w:val="both"/>
        <w:rPr>
          <w:lang w:eastAsia="lt-LT"/>
        </w:rPr>
      </w:pPr>
      <w:r>
        <w:rPr>
          <w:lang w:eastAsia="lt-LT"/>
        </w:rPr>
        <w:t>47</w:t>
      </w:r>
      <w:r>
        <w:rPr>
          <w:lang w:eastAsia="lt-LT"/>
        </w:rPr>
        <w:t xml:space="preserve">. Salėse privalo būti užtikrinta galimybė pakilti į scenos pakylą, užkulisius, terasą, balkoną ir kitas lankytojams skirtas patalpų vietas. </w:t>
      </w:r>
    </w:p>
    <w:p w14:paraId="0902FC9F" w14:textId="77777777" w:rsidR="00E36D0B" w:rsidRDefault="0041021E" w:rsidP="0041021E">
      <w:pPr>
        <w:suppressAutoHyphens/>
        <w:ind w:firstLine="709"/>
        <w:jc w:val="both"/>
        <w:rPr>
          <w:lang w:eastAsia="lt-LT"/>
        </w:rPr>
      </w:pPr>
      <w:r>
        <w:rPr>
          <w:lang w:eastAsia="lt-LT"/>
        </w:rPr>
        <w:t>48</w:t>
      </w:r>
      <w:r>
        <w:rPr>
          <w:lang w:eastAsia="lt-LT"/>
        </w:rPr>
        <w:t>. Prieinama judėjimo trasa nuo įėjimo į patalpas iki vietų, skirtų vežimėliais judan</w:t>
      </w:r>
      <w:r>
        <w:rPr>
          <w:lang w:eastAsia="lt-LT"/>
        </w:rPr>
        <w:t>tiems asmenims, ir scenos pakylos, užkulisių, terasų, balkonų ir kitų lankytojams skirtų patalpų turi būti įrengiama vadovaujantis šio Reglamento VII skyriumi.</w:t>
      </w:r>
    </w:p>
    <w:p w14:paraId="0902FCA0" w14:textId="77777777" w:rsidR="00E36D0B" w:rsidRDefault="0041021E" w:rsidP="0041021E">
      <w:pPr>
        <w:suppressAutoHyphens/>
        <w:ind w:firstLine="709"/>
        <w:jc w:val="both"/>
        <w:rPr>
          <w:lang w:eastAsia="lt-LT"/>
        </w:rPr>
      </w:pPr>
      <w:r>
        <w:rPr>
          <w:lang w:eastAsia="lt-LT"/>
        </w:rPr>
        <w:t>49</w:t>
      </w:r>
      <w:r>
        <w:rPr>
          <w:lang w:eastAsia="lt-LT"/>
        </w:rPr>
        <w:t xml:space="preserve">. Salėse įrengiant takus su pakopomis ir (ar) nuolaidžius takus, </w:t>
      </w:r>
      <w:proofErr w:type="spellStart"/>
      <w:r>
        <w:rPr>
          <w:lang w:eastAsia="lt-LT"/>
        </w:rPr>
        <w:t>nuožulnas</w:t>
      </w:r>
      <w:proofErr w:type="spellEnd"/>
      <w:r>
        <w:rPr>
          <w:lang w:eastAsia="lt-LT"/>
        </w:rPr>
        <w:t>, turi būti vado</w:t>
      </w:r>
      <w:r>
        <w:rPr>
          <w:lang w:eastAsia="lt-LT"/>
        </w:rPr>
        <w:t>vaujamasi ISO 21542:2011 14 skyriuje [5.10] nustatytais reikalavimais.</w:t>
      </w:r>
    </w:p>
    <w:p w14:paraId="0902FCA1" w14:textId="77777777" w:rsidR="00E36D0B" w:rsidRDefault="0041021E"/>
    <w:p w14:paraId="0902FCA2" w14:textId="77777777" w:rsidR="00E36D0B" w:rsidRDefault="0041021E">
      <w:pPr>
        <w:pBdr>
          <w:top w:val="nil"/>
          <w:left w:val="nil"/>
          <w:bottom w:val="nil"/>
          <w:right w:val="nil"/>
          <w:between w:val="nil"/>
        </w:pBdr>
        <w:suppressAutoHyphens/>
        <w:jc w:val="center"/>
        <w:rPr>
          <w:b/>
          <w:lang w:eastAsia="lt-LT"/>
        </w:rPr>
      </w:pPr>
      <w:r>
        <w:rPr>
          <w:b/>
          <w:lang w:eastAsia="lt-LT"/>
        </w:rPr>
        <w:t>XIV</w:t>
      </w:r>
      <w:r>
        <w:rPr>
          <w:b/>
          <w:lang w:eastAsia="lt-LT"/>
        </w:rPr>
        <w:t xml:space="preserve"> SKYRIUS</w:t>
      </w:r>
    </w:p>
    <w:p w14:paraId="0902FCA3" w14:textId="77777777" w:rsidR="00E36D0B" w:rsidRDefault="0041021E">
      <w:pPr>
        <w:pBdr>
          <w:top w:val="nil"/>
          <w:left w:val="nil"/>
          <w:bottom w:val="nil"/>
          <w:right w:val="nil"/>
          <w:between w:val="nil"/>
        </w:pBdr>
        <w:suppressAutoHyphens/>
        <w:jc w:val="center"/>
        <w:rPr>
          <w:b/>
          <w:lang w:eastAsia="lt-LT"/>
        </w:rPr>
      </w:pPr>
      <w:r>
        <w:rPr>
          <w:b/>
          <w:lang w:eastAsia="lt-LT"/>
        </w:rPr>
        <w:t>MAITINIMO PASKIRTIES VIETOS</w:t>
      </w:r>
    </w:p>
    <w:p w14:paraId="0902FCA4" w14:textId="77777777" w:rsidR="00E36D0B" w:rsidRDefault="00E36D0B"/>
    <w:p w14:paraId="0902FCA5" w14:textId="77777777" w:rsidR="00E36D0B" w:rsidRDefault="0041021E" w:rsidP="0041021E">
      <w:pPr>
        <w:pBdr>
          <w:top w:val="nil"/>
          <w:left w:val="nil"/>
          <w:bottom w:val="nil"/>
          <w:right w:val="nil"/>
          <w:between w:val="nil"/>
        </w:pBdr>
        <w:suppressAutoHyphens/>
        <w:ind w:firstLine="709"/>
        <w:jc w:val="both"/>
        <w:rPr>
          <w:lang w:eastAsia="lt-LT"/>
        </w:rPr>
      </w:pPr>
      <w:r>
        <w:rPr>
          <w:lang w:eastAsia="lt-LT"/>
        </w:rPr>
        <w:t>50</w:t>
      </w:r>
      <w:r>
        <w:rPr>
          <w:lang w:eastAsia="lt-LT"/>
        </w:rPr>
        <w:t xml:space="preserve">. Maitinimo paskirties statinių (patalpų) lankytojams (paslaugų gavėjams) skirtos vietos privalo atitikti ISO 21542:2011 24 ir 37 </w:t>
      </w:r>
      <w:r>
        <w:rPr>
          <w:lang w:eastAsia="lt-LT"/>
        </w:rPr>
        <w:t>skyrių [5.10] reikalavimus.</w:t>
      </w:r>
    </w:p>
    <w:p w14:paraId="0902FCA6" w14:textId="77777777" w:rsidR="00E36D0B" w:rsidRDefault="0041021E" w:rsidP="0041021E">
      <w:pPr>
        <w:suppressAutoHyphens/>
        <w:ind w:firstLine="709"/>
        <w:jc w:val="both"/>
        <w:rPr>
          <w:lang w:eastAsia="lt-LT"/>
        </w:rPr>
      </w:pPr>
      <w:r>
        <w:rPr>
          <w:lang w:eastAsia="lt-LT"/>
        </w:rPr>
        <w:t>51</w:t>
      </w:r>
      <w:r>
        <w:rPr>
          <w:lang w:eastAsia="lt-LT"/>
        </w:rPr>
        <w:t>. Maitinimo paskirties statinių (patalpų) lankytojams (paslaugų gavėjams) skirtos vietos turi būti tolygiai paskirstytos visoje patalpoje ar atskirose jos zonose (pakylose, balkonuose, terasose, antresolėse).</w:t>
      </w:r>
    </w:p>
    <w:p w14:paraId="0902FCA7" w14:textId="77777777" w:rsidR="00E36D0B" w:rsidRDefault="0041021E"/>
    <w:p w14:paraId="0902FCA8" w14:textId="77777777" w:rsidR="00E36D0B" w:rsidRDefault="0041021E">
      <w:pPr>
        <w:pBdr>
          <w:top w:val="nil"/>
          <w:left w:val="nil"/>
          <w:bottom w:val="nil"/>
          <w:right w:val="nil"/>
          <w:between w:val="nil"/>
        </w:pBdr>
        <w:suppressAutoHyphens/>
        <w:jc w:val="center"/>
        <w:rPr>
          <w:b/>
          <w:lang w:eastAsia="lt-LT"/>
        </w:rPr>
      </w:pPr>
      <w:r>
        <w:rPr>
          <w:b/>
          <w:lang w:eastAsia="lt-LT"/>
        </w:rPr>
        <w:t>XV</w:t>
      </w:r>
      <w:r>
        <w:rPr>
          <w:b/>
          <w:lang w:eastAsia="lt-LT"/>
        </w:rPr>
        <w:t xml:space="preserve"> SKY</w:t>
      </w:r>
      <w:r>
        <w:rPr>
          <w:b/>
          <w:lang w:eastAsia="lt-LT"/>
        </w:rPr>
        <w:t>RIUS</w:t>
      </w:r>
    </w:p>
    <w:p w14:paraId="0902FCA9" w14:textId="77777777" w:rsidR="00E36D0B" w:rsidRDefault="0041021E">
      <w:pPr>
        <w:pBdr>
          <w:top w:val="nil"/>
          <w:left w:val="nil"/>
          <w:bottom w:val="nil"/>
          <w:right w:val="nil"/>
          <w:between w:val="nil"/>
        </w:pBdr>
        <w:suppressAutoHyphens/>
        <w:jc w:val="center"/>
        <w:rPr>
          <w:b/>
          <w:lang w:eastAsia="lt-LT"/>
        </w:rPr>
      </w:pPr>
      <w:r>
        <w:rPr>
          <w:b/>
          <w:lang w:eastAsia="lt-LT"/>
        </w:rPr>
        <w:t>TUALETAI</w:t>
      </w:r>
    </w:p>
    <w:p w14:paraId="0902FCAA" w14:textId="77777777" w:rsidR="00E36D0B" w:rsidRDefault="00E36D0B"/>
    <w:p w14:paraId="0902FCAB" w14:textId="77777777" w:rsidR="00E36D0B" w:rsidRDefault="0041021E" w:rsidP="0041021E">
      <w:pPr>
        <w:suppressAutoHyphens/>
        <w:ind w:firstLine="709"/>
        <w:jc w:val="both"/>
        <w:rPr>
          <w:lang w:eastAsia="lt-LT"/>
        </w:rPr>
      </w:pPr>
      <w:r>
        <w:rPr>
          <w:lang w:eastAsia="lt-LT"/>
        </w:rPr>
        <w:t>52</w:t>
      </w:r>
      <w:r>
        <w:rPr>
          <w:lang w:eastAsia="lt-LT"/>
        </w:rPr>
        <w:t xml:space="preserve">. Visuomeninės paskirties statinių (patalpų) kiekviename aukšte turi būti įrengtas šiame Reglamente nurodytais atvejais ne mažiau kaip vienas bendras riboto </w:t>
      </w:r>
      <w:proofErr w:type="spellStart"/>
      <w:r>
        <w:rPr>
          <w:lang w:eastAsia="lt-LT"/>
        </w:rPr>
        <w:t>judumo</w:t>
      </w:r>
      <w:proofErr w:type="spellEnd"/>
      <w:r>
        <w:rPr>
          <w:lang w:eastAsia="lt-LT"/>
        </w:rPr>
        <w:t xml:space="preserve"> vyrams ir moterims tinkamas tualetas, į kurį įeinama tiesiai iš bendroj</w:t>
      </w:r>
      <w:r>
        <w:rPr>
          <w:lang w:eastAsia="lt-LT"/>
        </w:rPr>
        <w:t xml:space="preserve">o naudojimo koridorių, holų, vestibiulių ir pan. (toliau – bendrojo naudojimo patalpos) arba atskiri vyrų ir moterų tualetai, tinkami ir riboto </w:t>
      </w:r>
      <w:proofErr w:type="spellStart"/>
      <w:r>
        <w:rPr>
          <w:lang w:eastAsia="lt-LT"/>
        </w:rPr>
        <w:t>judumo</w:t>
      </w:r>
      <w:proofErr w:type="spellEnd"/>
      <w:r>
        <w:rPr>
          <w:lang w:eastAsia="lt-LT"/>
        </w:rPr>
        <w:t xml:space="preserve"> asmenims.</w:t>
      </w:r>
    </w:p>
    <w:p w14:paraId="0902FCAC" w14:textId="77777777" w:rsidR="00E36D0B" w:rsidRDefault="0041021E" w:rsidP="0041021E">
      <w:pPr>
        <w:suppressAutoHyphens/>
        <w:ind w:firstLine="709"/>
        <w:jc w:val="both"/>
        <w:rPr>
          <w:lang w:eastAsia="lt-LT"/>
        </w:rPr>
      </w:pPr>
      <w:r>
        <w:rPr>
          <w:lang w:eastAsia="lt-LT"/>
        </w:rPr>
        <w:t>53</w:t>
      </w:r>
      <w:r>
        <w:rPr>
          <w:lang w:eastAsia="lt-LT"/>
        </w:rPr>
        <w:t xml:space="preserve">. Riboto </w:t>
      </w:r>
      <w:proofErr w:type="spellStart"/>
      <w:r>
        <w:rPr>
          <w:lang w:eastAsia="lt-LT"/>
        </w:rPr>
        <w:t>judumo</w:t>
      </w:r>
      <w:proofErr w:type="spellEnd"/>
      <w:r>
        <w:rPr>
          <w:lang w:eastAsia="lt-LT"/>
        </w:rPr>
        <w:t xml:space="preserve"> asmenims įrengiami A, B, C tipų tualetai vadovaujantis ISO 21542:2011 26 </w:t>
      </w:r>
      <w:r>
        <w:rPr>
          <w:lang w:eastAsia="lt-LT"/>
        </w:rPr>
        <w:t>skyriumi [5.10].</w:t>
      </w:r>
    </w:p>
    <w:p w14:paraId="0902FCAD" w14:textId="77777777" w:rsidR="00E36D0B" w:rsidRDefault="0041021E" w:rsidP="0041021E">
      <w:pPr>
        <w:suppressAutoHyphens/>
        <w:ind w:firstLine="709"/>
        <w:jc w:val="both"/>
        <w:rPr>
          <w:lang w:eastAsia="lt-LT"/>
        </w:rPr>
      </w:pPr>
      <w:r>
        <w:rPr>
          <w:lang w:eastAsia="lt-LT"/>
        </w:rPr>
        <w:t>54</w:t>
      </w:r>
      <w:r>
        <w:rPr>
          <w:lang w:eastAsia="lt-LT"/>
        </w:rPr>
        <w:t>. Visuomeninės paskirties statinio (patalpų) kiekviename aukšte, kai aukšto patalpų plotas didesnis nei 1 000 m</w:t>
      </w:r>
      <w:r>
        <w:rPr>
          <w:vertAlign w:val="superscript"/>
          <w:lang w:eastAsia="lt-LT"/>
        </w:rPr>
        <w:t>2</w:t>
      </w:r>
      <w:r>
        <w:rPr>
          <w:lang w:eastAsia="lt-LT"/>
        </w:rPr>
        <w:t xml:space="preserve">, įrengiamas ne mažiau kaip vienas A tipo tualetas su įėjimu iš bendro naudojimo patalpų. </w:t>
      </w:r>
    </w:p>
    <w:p w14:paraId="0902FCAE" w14:textId="77777777" w:rsidR="00E36D0B" w:rsidRDefault="0041021E" w:rsidP="0041021E">
      <w:pPr>
        <w:suppressAutoHyphens/>
        <w:ind w:firstLine="709"/>
        <w:jc w:val="both"/>
        <w:rPr>
          <w:lang w:eastAsia="lt-LT"/>
        </w:rPr>
      </w:pPr>
      <w:r>
        <w:rPr>
          <w:lang w:eastAsia="lt-LT"/>
        </w:rPr>
        <w:t>55</w:t>
      </w:r>
      <w:r>
        <w:rPr>
          <w:lang w:eastAsia="lt-LT"/>
        </w:rPr>
        <w:t>. A tipo tualetai įrengi</w:t>
      </w:r>
      <w:r>
        <w:rPr>
          <w:lang w:eastAsia="lt-LT"/>
        </w:rPr>
        <w:t>ami kiekviename gydymo paskirties pastato (patalpų) aukšte, išskyrus veterinarijos gydyklas.</w:t>
      </w:r>
    </w:p>
    <w:p w14:paraId="0902FCAF" w14:textId="312DBFF7" w:rsidR="00E36D0B" w:rsidRDefault="0041021E" w:rsidP="0041021E">
      <w:pPr>
        <w:suppressAutoHyphens/>
        <w:ind w:firstLine="709"/>
        <w:jc w:val="both"/>
        <w:rPr>
          <w:lang w:eastAsia="lt-LT"/>
        </w:rPr>
      </w:pPr>
      <w:r>
        <w:rPr>
          <w:lang w:eastAsia="lt-LT"/>
        </w:rPr>
        <w:t>56</w:t>
      </w:r>
      <w:r>
        <w:rPr>
          <w:lang w:eastAsia="lt-LT"/>
        </w:rPr>
        <w:t>. Visuomeninės paskirties statinyje (patalpose), kai aukšto patalpų plotas didesnis nei 200 m</w:t>
      </w:r>
      <w:r>
        <w:rPr>
          <w:vertAlign w:val="superscript"/>
          <w:lang w:eastAsia="lt-LT"/>
        </w:rPr>
        <w:t>2</w:t>
      </w:r>
      <w:r>
        <w:rPr>
          <w:lang w:eastAsia="lt-LT"/>
        </w:rPr>
        <w:t xml:space="preserve"> ir ne didesnis kaip 1 000 m</w:t>
      </w:r>
      <w:r>
        <w:rPr>
          <w:vertAlign w:val="superscript"/>
          <w:lang w:eastAsia="lt-LT"/>
        </w:rPr>
        <w:t>2</w:t>
      </w:r>
      <w:r>
        <w:rPr>
          <w:lang w:eastAsia="lt-LT"/>
        </w:rPr>
        <w:t>, įrengiamas 3 lentelėje nurodytas</w:t>
      </w:r>
      <w:r>
        <w:rPr>
          <w:lang w:eastAsia="lt-LT"/>
        </w:rPr>
        <w:t xml:space="preserve"> A tipo tualetų skaičius su įėjimu iš bendro naudojimo patalpų, išdėstant juos tolygiai tarp aukštų (kai A tipo tualetų skaičius didesnis nei 1), o likusiuose aukštuose, kai aukšto patalpų plotas didesnis nei 200 m</w:t>
      </w:r>
      <w:r>
        <w:rPr>
          <w:vertAlign w:val="superscript"/>
          <w:lang w:eastAsia="lt-LT"/>
        </w:rPr>
        <w:t>2</w:t>
      </w:r>
      <w:r>
        <w:rPr>
          <w:lang w:eastAsia="lt-LT"/>
        </w:rPr>
        <w:t xml:space="preserve"> ir iki 1 000 m</w:t>
      </w:r>
      <w:r>
        <w:rPr>
          <w:vertAlign w:val="superscript"/>
          <w:lang w:eastAsia="lt-LT"/>
        </w:rPr>
        <w:t>2</w:t>
      </w:r>
      <w:r>
        <w:rPr>
          <w:lang w:eastAsia="lt-LT"/>
        </w:rPr>
        <w:t>, įrengiami B tipo tualet</w:t>
      </w:r>
      <w:r>
        <w:rPr>
          <w:lang w:eastAsia="lt-LT"/>
        </w:rPr>
        <w:t>ai su įėjimu iš bendrojo naudojimo patalpų.</w:t>
      </w:r>
    </w:p>
    <w:p w14:paraId="0902FCB0" w14:textId="647CE69B" w:rsidR="00E36D0B" w:rsidRDefault="00E36D0B"/>
    <w:p w14:paraId="0902FCB1" w14:textId="3DABC4FF" w:rsidR="00E36D0B" w:rsidRDefault="0041021E">
      <w:pPr>
        <w:suppressAutoHyphens/>
        <w:jc w:val="right"/>
        <w:rPr>
          <w:lang w:eastAsia="lt-LT"/>
        </w:rPr>
      </w:pPr>
      <w:r>
        <w:rPr>
          <w:lang w:eastAsia="lt-LT"/>
        </w:rPr>
        <w:t>3</w:t>
      </w:r>
      <w:r>
        <w:rPr>
          <w:lang w:eastAsia="lt-LT"/>
        </w:rPr>
        <w:t xml:space="preserve"> lentelė</w:t>
      </w:r>
    </w:p>
    <w:p w14:paraId="0902FCB2" w14:textId="5165992F" w:rsidR="00E36D0B" w:rsidRDefault="0041021E">
      <w:pPr>
        <w:suppressAutoHyphens/>
        <w:jc w:val="center"/>
        <w:rPr>
          <w:lang w:eastAsia="lt-LT"/>
        </w:rPr>
      </w:pPr>
      <w:r>
        <w:rPr>
          <w:lang w:eastAsia="lt-LT"/>
        </w:rPr>
        <w:t>Visuomeninės paskirties statinio (patalpų) minimalus A tipo tualetų skaičius, kai aukšto patalpų plotas didesnis nei 200 m</w:t>
      </w:r>
      <w:r>
        <w:rPr>
          <w:vertAlign w:val="superscript"/>
          <w:lang w:eastAsia="lt-LT"/>
        </w:rPr>
        <w:t>2</w:t>
      </w:r>
      <w:r>
        <w:rPr>
          <w:lang w:eastAsia="lt-LT"/>
        </w:rPr>
        <w:t xml:space="preserve"> ir ne didesnis kaip 1 000 m</w:t>
      </w:r>
      <w:r>
        <w:rPr>
          <w:vertAlign w:val="superscript"/>
          <w:lang w:eastAsia="lt-LT"/>
        </w:rPr>
        <w:t>2</w:t>
      </w:r>
      <w:r>
        <w:rPr>
          <w:lang w:eastAsia="lt-LT"/>
        </w:rPr>
        <w:t>.</w:t>
      </w:r>
    </w:p>
    <w:p w14:paraId="0902FCB3" w14:textId="668A666A" w:rsidR="00E36D0B" w:rsidRDefault="00E36D0B"/>
    <w:tbl>
      <w:tblPr>
        <w:tblW w:w="996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4620"/>
        <w:gridCol w:w="5340"/>
      </w:tblGrid>
      <w:tr w:rsidR="00E36D0B" w14:paraId="0902FCB6" w14:textId="77777777">
        <w:tc>
          <w:tcPr>
            <w:tcW w:w="4620" w:type="dxa"/>
            <w:shd w:val="clear" w:color="auto" w:fill="auto"/>
            <w:tcMar>
              <w:top w:w="100" w:type="dxa"/>
              <w:left w:w="100" w:type="dxa"/>
              <w:bottom w:w="100" w:type="dxa"/>
              <w:right w:w="100" w:type="dxa"/>
            </w:tcMar>
          </w:tcPr>
          <w:p w14:paraId="0902FCB4" w14:textId="366D5A10" w:rsidR="00E36D0B" w:rsidRDefault="0041021E">
            <w:pPr>
              <w:widowControl w:val="0"/>
              <w:pBdr>
                <w:top w:val="nil"/>
                <w:left w:val="nil"/>
                <w:bottom w:val="nil"/>
                <w:right w:val="nil"/>
                <w:between w:val="nil"/>
              </w:pBdr>
              <w:suppressAutoHyphens/>
              <w:rPr>
                <w:lang w:eastAsia="lt-LT"/>
              </w:rPr>
            </w:pPr>
            <w:r>
              <w:rPr>
                <w:lang w:eastAsia="lt-LT"/>
              </w:rPr>
              <w:t>Statinio (patalpų) aukštų skaičius</w:t>
            </w:r>
          </w:p>
        </w:tc>
        <w:tc>
          <w:tcPr>
            <w:tcW w:w="5340" w:type="dxa"/>
            <w:shd w:val="clear" w:color="auto" w:fill="auto"/>
            <w:tcMar>
              <w:top w:w="100" w:type="dxa"/>
              <w:left w:w="100" w:type="dxa"/>
              <w:bottom w:w="100" w:type="dxa"/>
              <w:right w:w="100" w:type="dxa"/>
            </w:tcMar>
          </w:tcPr>
          <w:p w14:paraId="0902FCB5" w14:textId="77777777" w:rsidR="00E36D0B" w:rsidRDefault="0041021E">
            <w:pPr>
              <w:widowControl w:val="0"/>
              <w:pBdr>
                <w:top w:val="nil"/>
                <w:left w:val="nil"/>
                <w:bottom w:val="nil"/>
                <w:right w:val="nil"/>
                <w:between w:val="nil"/>
              </w:pBdr>
              <w:suppressAutoHyphens/>
              <w:rPr>
                <w:lang w:eastAsia="lt-LT"/>
              </w:rPr>
            </w:pPr>
            <w:r>
              <w:rPr>
                <w:lang w:eastAsia="lt-LT"/>
              </w:rPr>
              <w:t>Statinio (patalpų) minimalus A tipo tualetų skaičius</w:t>
            </w:r>
          </w:p>
        </w:tc>
      </w:tr>
      <w:tr w:rsidR="00E36D0B" w14:paraId="0902FCB9" w14:textId="77777777">
        <w:tc>
          <w:tcPr>
            <w:tcW w:w="4620" w:type="dxa"/>
            <w:shd w:val="clear" w:color="auto" w:fill="auto"/>
            <w:tcMar>
              <w:top w:w="100" w:type="dxa"/>
              <w:left w:w="100" w:type="dxa"/>
              <w:bottom w:w="100" w:type="dxa"/>
              <w:right w:w="100" w:type="dxa"/>
            </w:tcMar>
          </w:tcPr>
          <w:p w14:paraId="0902FCB7" w14:textId="77777777" w:rsidR="00E36D0B" w:rsidRDefault="0041021E">
            <w:pPr>
              <w:widowControl w:val="0"/>
              <w:pBdr>
                <w:top w:val="nil"/>
                <w:left w:val="nil"/>
                <w:bottom w:val="nil"/>
                <w:right w:val="nil"/>
                <w:between w:val="nil"/>
              </w:pBdr>
              <w:suppressAutoHyphens/>
              <w:rPr>
                <w:lang w:eastAsia="lt-LT"/>
              </w:rPr>
            </w:pPr>
            <w:r>
              <w:rPr>
                <w:lang w:eastAsia="lt-LT"/>
              </w:rPr>
              <w:t>1 – 3</w:t>
            </w:r>
          </w:p>
        </w:tc>
        <w:tc>
          <w:tcPr>
            <w:tcW w:w="5340" w:type="dxa"/>
            <w:shd w:val="clear" w:color="auto" w:fill="auto"/>
            <w:tcMar>
              <w:top w:w="100" w:type="dxa"/>
              <w:left w:w="100" w:type="dxa"/>
              <w:bottom w:w="100" w:type="dxa"/>
              <w:right w:w="100" w:type="dxa"/>
            </w:tcMar>
          </w:tcPr>
          <w:p w14:paraId="0902FCB8" w14:textId="77777777" w:rsidR="00E36D0B" w:rsidRDefault="0041021E">
            <w:pPr>
              <w:widowControl w:val="0"/>
              <w:pBdr>
                <w:top w:val="nil"/>
                <w:left w:val="nil"/>
                <w:bottom w:val="nil"/>
                <w:right w:val="nil"/>
                <w:between w:val="nil"/>
              </w:pBdr>
              <w:suppressAutoHyphens/>
              <w:rPr>
                <w:lang w:eastAsia="lt-LT"/>
              </w:rPr>
            </w:pPr>
            <w:r>
              <w:rPr>
                <w:lang w:eastAsia="lt-LT"/>
              </w:rPr>
              <w:t>1</w:t>
            </w:r>
          </w:p>
        </w:tc>
      </w:tr>
      <w:tr w:rsidR="00E36D0B" w14:paraId="0902FCBC" w14:textId="77777777">
        <w:tc>
          <w:tcPr>
            <w:tcW w:w="4620" w:type="dxa"/>
            <w:shd w:val="clear" w:color="auto" w:fill="auto"/>
            <w:tcMar>
              <w:top w:w="100" w:type="dxa"/>
              <w:left w:w="100" w:type="dxa"/>
              <w:bottom w:w="100" w:type="dxa"/>
              <w:right w:w="100" w:type="dxa"/>
            </w:tcMar>
          </w:tcPr>
          <w:p w14:paraId="0902FCBA" w14:textId="77777777" w:rsidR="00E36D0B" w:rsidRDefault="0041021E">
            <w:pPr>
              <w:widowControl w:val="0"/>
              <w:pBdr>
                <w:top w:val="nil"/>
                <w:left w:val="nil"/>
                <w:bottom w:val="nil"/>
                <w:right w:val="nil"/>
                <w:between w:val="nil"/>
              </w:pBdr>
              <w:suppressAutoHyphens/>
              <w:rPr>
                <w:lang w:eastAsia="lt-LT"/>
              </w:rPr>
            </w:pPr>
            <w:r>
              <w:rPr>
                <w:lang w:eastAsia="lt-LT"/>
              </w:rPr>
              <w:t>4 – 6</w:t>
            </w:r>
          </w:p>
        </w:tc>
        <w:tc>
          <w:tcPr>
            <w:tcW w:w="5340" w:type="dxa"/>
            <w:shd w:val="clear" w:color="auto" w:fill="auto"/>
            <w:tcMar>
              <w:top w:w="100" w:type="dxa"/>
              <w:left w:w="100" w:type="dxa"/>
              <w:bottom w:w="100" w:type="dxa"/>
              <w:right w:w="100" w:type="dxa"/>
            </w:tcMar>
          </w:tcPr>
          <w:p w14:paraId="0902FCBB" w14:textId="77777777" w:rsidR="00E36D0B" w:rsidRDefault="0041021E">
            <w:pPr>
              <w:widowControl w:val="0"/>
              <w:pBdr>
                <w:top w:val="nil"/>
                <w:left w:val="nil"/>
                <w:bottom w:val="nil"/>
                <w:right w:val="nil"/>
                <w:between w:val="nil"/>
              </w:pBdr>
              <w:suppressAutoHyphens/>
              <w:rPr>
                <w:lang w:eastAsia="lt-LT"/>
              </w:rPr>
            </w:pPr>
            <w:r>
              <w:rPr>
                <w:lang w:eastAsia="lt-LT"/>
              </w:rPr>
              <w:t>2</w:t>
            </w:r>
          </w:p>
        </w:tc>
      </w:tr>
      <w:tr w:rsidR="00E36D0B" w14:paraId="0902FCBF" w14:textId="77777777">
        <w:tc>
          <w:tcPr>
            <w:tcW w:w="4620" w:type="dxa"/>
            <w:shd w:val="clear" w:color="auto" w:fill="auto"/>
            <w:tcMar>
              <w:top w:w="100" w:type="dxa"/>
              <w:left w:w="100" w:type="dxa"/>
              <w:bottom w:w="100" w:type="dxa"/>
              <w:right w:w="100" w:type="dxa"/>
            </w:tcMar>
          </w:tcPr>
          <w:p w14:paraId="0902FCBD" w14:textId="77777777" w:rsidR="00E36D0B" w:rsidRDefault="0041021E">
            <w:pPr>
              <w:widowControl w:val="0"/>
              <w:pBdr>
                <w:top w:val="nil"/>
                <w:left w:val="nil"/>
                <w:bottom w:val="nil"/>
                <w:right w:val="nil"/>
                <w:between w:val="nil"/>
              </w:pBdr>
              <w:suppressAutoHyphens/>
              <w:rPr>
                <w:lang w:eastAsia="lt-LT"/>
              </w:rPr>
            </w:pPr>
            <w:r>
              <w:rPr>
                <w:lang w:eastAsia="lt-LT"/>
              </w:rPr>
              <w:t xml:space="preserve">Daugiau kaip 6 </w:t>
            </w:r>
          </w:p>
        </w:tc>
        <w:tc>
          <w:tcPr>
            <w:tcW w:w="5340" w:type="dxa"/>
            <w:shd w:val="clear" w:color="auto" w:fill="auto"/>
            <w:tcMar>
              <w:top w:w="100" w:type="dxa"/>
              <w:left w:w="100" w:type="dxa"/>
              <w:bottom w:w="100" w:type="dxa"/>
              <w:right w:w="100" w:type="dxa"/>
            </w:tcMar>
          </w:tcPr>
          <w:p w14:paraId="0902FCBE" w14:textId="77777777" w:rsidR="00E36D0B" w:rsidRDefault="0041021E">
            <w:pPr>
              <w:widowControl w:val="0"/>
              <w:pBdr>
                <w:top w:val="nil"/>
                <w:left w:val="nil"/>
                <w:bottom w:val="nil"/>
                <w:right w:val="nil"/>
                <w:between w:val="nil"/>
              </w:pBdr>
              <w:suppressAutoHyphens/>
              <w:rPr>
                <w:lang w:eastAsia="lt-LT"/>
              </w:rPr>
            </w:pPr>
            <w:r>
              <w:rPr>
                <w:lang w:eastAsia="lt-LT"/>
              </w:rPr>
              <w:t>3 ir papildomiems 3 aukštams pridedant po 1</w:t>
            </w:r>
          </w:p>
        </w:tc>
      </w:tr>
    </w:tbl>
    <w:p w14:paraId="0902FCC0" w14:textId="1166F90E" w:rsidR="00E36D0B" w:rsidRDefault="0041021E"/>
    <w:p w14:paraId="0902FCC1" w14:textId="77777777" w:rsidR="00E36D0B" w:rsidRDefault="0041021E" w:rsidP="0041021E">
      <w:pPr>
        <w:suppressAutoHyphens/>
        <w:ind w:firstLine="709"/>
        <w:jc w:val="both"/>
        <w:rPr>
          <w:lang w:eastAsia="lt-LT"/>
        </w:rPr>
      </w:pPr>
      <w:r>
        <w:rPr>
          <w:lang w:eastAsia="lt-LT"/>
        </w:rPr>
        <w:t>57</w:t>
      </w:r>
      <w:r>
        <w:rPr>
          <w:lang w:eastAsia="lt-LT"/>
        </w:rPr>
        <w:t>. Visuomeninės paskirties statinio (patalpų) kiekviename aukšte, kai aukšto patalpų plotas didesnis nei 100 m</w:t>
      </w:r>
      <w:r>
        <w:rPr>
          <w:vertAlign w:val="superscript"/>
          <w:lang w:eastAsia="lt-LT"/>
        </w:rPr>
        <w:t>2</w:t>
      </w:r>
      <w:r>
        <w:rPr>
          <w:lang w:eastAsia="lt-LT"/>
        </w:rPr>
        <w:t xml:space="preserve"> ir ne didesnis kaip 200 m</w:t>
      </w:r>
      <w:r>
        <w:rPr>
          <w:vertAlign w:val="superscript"/>
          <w:lang w:eastAsia="lt-LT"/>
        </w:rPr>
        <w:t>2</w:t>
      </w:r>
      <w:r>
        <w:rPr>
          <w:lang w:eastAsia="lt-LT"/>
        </w:rPr>
        <w:t xml:space="preserve">, įrengiamas ne mažiau kaip vienas bendras riboto </w:t>
      </w:r>
      <w:proofErr w:type="spellStart"/>
      <w:r>
        <w:rPr>
          <w:lang w:eastAsia="lt-LT"/>
        </w:rPr>
        <w:t>judumo</w:t>
      </w:r>
      <w:proofErr w:type="spellEnd"/>
      <w:r>
        <w:rPr>
          <w:lang w:eastAsia="lt-LT"/>
        </w:rPr>
        <w:t xml:space="preserve"> vyrams ir moterims B tipo tualetas su įėjimu iš bendrojo naudojimo patalpų arba atskiri vyrams ir moterims B tipo reikalavimus atitinkantys tualetai.</w:t>
      </w:r>
    </w:p>
    <w:p w14:paraId="0902FCC2" w14:textId="77777777" w:rsidR="00E36D0B" w:rsidRDefault="0041021E" w:rsidP="0041021E">
      <w:pPr>
        <w:suppressAutoHyphens/>
        <w:ind w:firstLine="709"/>
        <w:jc w:val="both"/>
        <w:rPr>
          <w:lang w:eastAsia="lt-LT"/>
        </w:rPr>
      </w:pPr>
      <w:r>
        <w:rPr>
          <w:lang w:eastAsia="lt-LT"/>
        </w:rPr>
        <w:t>58</w:t>
      </w:r>
      <w:r>
        <w:rPr>
          <w:lang w:eastAsia="lt-LT"/>
        </w:rPr>
        <w:t>. Visuomeninės p</w:t>
      </w:r>
      <w:r>
        <w:rPr>
          <w:lang w:eastAsia="lt-LT"/>
        </w:rPr>
        <w:t>askirties statinio (patalpų) kiekviename aukšte, kai aukšto patalpų plotas 100 m</w:t>
      </w:r>
      <w:r>
        <w:rPr>
          <w:vertAlign w:val="superscript"/>
          <w:lang w:eastAsia="lt-LT"/>
        </w:rPr>
        <w:t>2</w:t>
      </w:r>
      <w:r>
        <w:rPr>
          <w:lang w:eastAsia="lt-LT"/>
        </w:rPr>
        <w:t xml:space="preserve"> ar mažesnis, įrengiamas ne mažiau kaip vienas bendras riboto </w:t>
      </w:r>
      <w:proofErr w:type="spellStart"/>
      <w:r>
        <w:rPr>
          <w:lang w:eastAsia="lt-LT"/>
        </w:rPr>
        <w:t>judumo</w:t>
      </w:r>
      <w:proofErr w:type="spellEnd"/>
      <w:r>
        <w:rPr>
          <w:lang w:eastAsia="lt-LT"/>
        </w:rPr>
        <w:t xml:space="preserve"> vyrams ir moterims C tipo tualetas su įėjimu iš bendrojo naudojimo patalpų arba atskiri vyrams ir moterims</w:t>
      </w:r>
      <w:r>
        <w:rPr>
          <w:lang w:eastAsia="lt-LT"/>
        </w:rPr>
        <w:t xml:space="preserve"> C tipo reikalavimus atitinkantys tualetai.</w:t>
      </w:r>
    </w:p>
    <w:p w14:paraId="0902FCC3" w14:textId="77777777" w:rsidR="00E36D0B" w:rsidRDefault="0041021E" w:rsidP="0041021E">
      <w:pPr>
        <w:suppressAutoHyphens/>
        <w:ind w:firstLine="709"/>
        <w:jc w:val="both"/>
        <w:rPr>
          <w:lang w:eastAsia="lt-LT"/>
        </w:rPr>
      </w:pPr>
      <w:r>
        <w:rPr>
          <w:lang w:eastAsia="lt-LT"/>
        </w:rPr>
        <w:t>59</w:t>
      </w:r>
      <w:r>
        <w:rPr>
          <w:lang w:eastAsia="lt-LT"/>
        </w:rPr>
        <w:t xml:space="preserve">. A, B, ir C tipų tualetuose durų tarpdurio minimalus laisvasis plotis – 850 mm, o juose įrengiamų unitazų viršus turi būti 430 – 520 mm aukštyje nuo grindų paviršiaus. </w:t>
      </w:r>
    </w:p>
    <w:p w14:paraId="0902FCC4" w14:textId="77777777" w:rsidR="00E36D0B" w:rsidRDefault="0041021E" w:rsidP="0041021E">
      <w:pPr>
        <w:suppressAutoHyphens/>
        <w:ind w:firstLine="709"/>
        <w:jc w:val="both"/>
        <w:rPr>
          <w:lang w:eastAsia="lt-LT"/>
        </w:rPr>
      </w:pPr>
      <w:r>
        <w:rPr>
          <w:lang w:eastAsia="lt-LT"/>
        </w:rPr>
        <w:t>60</w:t>
      </w:r>
      <w:r>
        <w:rPr>
          <w:lang w:eastAsia="lt-LT"/>
        </w:rPr>
        <w:t>. Jeigu tualete įrengiamos try</w:t>
      </w:r>
      <w:r>
        <w:rPr>
          <w:lang w:eastAsia="lt-LT"/>
        </w:rPr>
        <w:t xml:space="preserve">s ir daugiau tualetų kabinos, viena iš jų turi būti tinkama riboto </w:t>
      </w:r>
      <w:proofErr w:type="spellStart"/>
      <w:r>
        <w:rPr>
          <w:lang w:eastAsia="lt-LT"/>
        </w:rPr>
        <w:t>judumo</w:t>
      </w:r>
      <w:proofErr w:type="spellEnd"/>
      <w:r>
        <w:rPr>
          <w:lang w:eastAsia="lt-LT"/>
        </w:rPr>
        <w:t xml:space="preserve"> asmenims. Tokiais atvejais judėjimo trasa patekti į kabiną ir prie bent vieno iš patalpoje esančių praustuvių turi būti ne siauresnė kaip 1 500 mm. Riboto </w:t>
      </w:r>
      <w:proofErr w:type="spellStart"/>
      <w:r>
        <w:rPr>
          <w:lang w:eastAsia="lt-LT"/>
        </w:rPr>
        <w:t>judumo</w:t>
      </w:r>
      <w:proofErr w:type="spellEnd"/>
      <w:r>
        <w:rPr>
          <w:lang w:eastAsia="lt-LT"/>
        </w:rPr>
        <w:t xml:space="preserve"> asmenims skirtų kabi</w:t>
      </w:r>
      <w:r>
        <w:rPr>
          <w:lang w:eastAsia="lt-LT"/>
        </w:rPr>
        <w:t>nų durys turi atsidaryti į išorę. Šių durų plotis turi būti ne mažesnis kaip 850 mm. Kabina turi būti ne mažesnė kaip 1 830 mm x 1 830 mm. Reglamento 59 punkte nurodyto aukščio unitazas įrengiamas nuo vienos iš sienų (pertvarų) paliekant 920 mm laisvą erdv</w:t>
      </w:r>
      <w:r>
        <w:rPr>
          <w:lang w:eastAsia="lt-LT"/>
        </w:rPr>
        <w:t xml:space="preserve">ę. Prie unitazo įrengiami turėklai vadovaujantis ISO 21542:2011 26.7 papunkčiu [5.10]. </w:t>
      </w:r>
    </w:p>
    <w:p w14:paraId="0902FCC5" w14:textId="77777777" w:rsidR="00E36D0B" w:rsidRDefault="0041021E" w:rsidP="0041021E">
      <w:pPr>
        <w:suppressAutoHyphens/>
        <w:ind w:firstLine="709"/>
        <w:jc w:val="both"/>
        <w:rPr>
          <w:lang w:eastAsia="lt-LT"/>
        </w:rPr>
      </w:pPr>
      <w:r>
        <w:rPr>
          <w:lang w:eastAsia="lt-LT"/>
        </w:rPr>
        <w:t>61</w:t>
      </w:r>
      <w:r>
        <w:rPr>
          <w:lang w:eastAsia="lt-LT"/>
        </w:rPr>
        <w:t xml:space="preserve">. Statiniuose, kuriuose lankytojams yra įrengiami dušai, bent viena dušo patalpa ir judėjimo trasa iki jos turi būti tinkama riboto </w:t>
      </w:r>
      <w:proofErr w:type="spellStart"/>
      <w:r>
        <w:rPr>
          <w:lang w:eastAsia="lt-LT"/>
        </w:rPr>
        <w:t>judumo</w:t>
      </w:r>
      <w:proofErr w:type="spellEnd"/>
      <w:r>
        <w:rPr>
          <w:lang w:eastAsia="lt-LT"/>
        </w:rPr>
        <w:t xml:space="preserve"> asmenims. Reikalavimai </w:t>
      </w:r>
      <w:r>
        <w:rPr>
          <w:lang w:eastAsia="lt-LT"/>
        </w:rPr>
        <w:t xml:space="preserve">dušo patalpos įrengimui nustatyti ISO 21542:2011 26.16 papunktyje [5.10]. </w:t>
      </w:r>
    </w:p>
    <w:p w14:paraId="0902FCC6" w14:textId="77777777" w:rsidR="00E36D0B" w:rsidRDefault="0041021E" w:rsidP="0041021E">
      <w:pPr>
        <w:suppressAutoHyphens/>
        <w:ind w:firstLine="709"/>
        <w:jc w:val="both"/>
        <w:rPr>
          <w:lang w:eastAsia="lt-LT"/>
        </w:rPr>
      </w:pPr>
      <w:r>
        <w:rPr>
          <w:lang w:eastAsia="lt-LT"/>
        </w:rPr>
        <w:t>62</w:t>
      </w:r>
      <w:r>
        <w:rPr>
          <w:lang w:eastAsia="lt-LT"/>
        </w:rPr>
        <w:t xml:space="preserve">. Viešieji tualetai privalo būti tinkami riboto </w:t>
      </w:r>
      <w:proofErr w:type="spellStart"/>
      <w:r>
        <w:rPr>
          <w:lang w:eastAsia="lt-LT"/>
        </w:rPr>
        <w:t>judumo</w:t>
      </w:r>
      <w:proofErr w:type="spellEnd"/>
      <w:r>
        <w:rPr>
          <w:lang w:eastAsia="lt-LT"/>
        </w:rPr>
        <w:t xml:space="preserve"> asmenims ir jų įrengimui taikomi minimalūs A arba B tipo tualetams ISO 21542:2011 26 skyriuje [5.10] nustatyti matmenų i</w:t>
      </w:r>
      <w:r>
        <w:rPr>
          <w:lang w:eastAsia="lt-LT"/>
        </w:rPr>
        <w:t>r įrengimo reikalavimai.</w:t>
      </w:r>
    </w:p>
    <w:p w14:paraId="0902FCC7" w14:textId="77777777" w:rsidR="00E36D0B" w:rsidRDefault="0041021E"/>
    <w:p w14:paraId="0902FCC8" w14:textId="77777777" w:rsidR="00E36D0B" w:rsidRDefault="0041021E">
      <w:pPr>
        <w:suppressAutoHyphens/>
        <w:jc w:val="center"/>
        <w:rPr>
          <w:b/>
          <w:lang w:eastAsia="lt-LT"/>
        </w:rPr>
      </w:pPr>
      <w:r>
        <w:rPr>
          <w:b/>
          <w:lang w:eastAsia="lt-LT"/>
        </w:rPr>
        <w:t>XVI</w:t>
      </w:r>
      <w:r>
        <w:rPr>
          <w:b/>
          <w:lang w:eastAsia="lt-LT"/>
        </w:rPr>
        <w:t xml:space="preserve"> SKYRIUS</w:t>
      </w:r>
    </w:p>
    <w:p w14:paraId="0902FCC9" w14:textId="77777777" w:rsidR="00E36D0B" w:rsidRDefault="0041021E">
      <w:pPr>
        <w:suppressAutoHyphens/>
        <w:jc w:val="center"/>
        <w:rPr>
          <w:b/>
          <w:lang w:eastAsia="lt-LT"/>
        </w:rPr>
      </w:pPr>
      <w:r>
        <w:rPr>
          <w:b/>
          <w:lang w:eastAsia="lt-LT"/>
        </w:rPr>
        <w:t>PRIEINAMI KAMBARIAI NE</w:t>
      </w:r>
      <w:r>
        <w:rPr>
          <w:b/>
          <w:caps/>
          <w:lang w:eastAsia="lt-LT"/>
        </w:rPr>
        <w:t>gyvenamuosiuose</w:t>
      </w:r>
      <w:r>
        <w:rPr>
          <w:b/>
          <w:lang w:eastAsia="lt-LT"/>
        </w:rPr>
        <w:t xml:space="preserve"> PASTATUOSE</w:t>
      </w:r>
    </w:p>
    <w:p w14:paraId="0902FCCA" w14:textId="77777777" w:rsidR="00E36D0B" w:rsidRDefault="00E36D0B"/>
    <w:p w14:paraId="0902FCCB" w14:textId="77777777" w:rsidR="00E36D0B" w:rsidRDefault="0041021E" w:rsidP="0041021E">
      <w:pPr>
        <w:suppressAutoHyphens/>
        <w:ind w:firstLine="709"/>
        <w:jc w:val="both"/>
        <w:rPr>
          <w:lang w:eastAsia="lt-LT"/>
        </w:rPr>
      </w:pPr>
      <w:r>
        <w:rPr>
          <w:lang w:eastAsia="lt-LT"/>
        </w:rPr>
        <w:t>63</w:t>
      </w:r>
      <w:r>
        <w:rPr>
          <w:lang w:eastAsia="lt-LT"/>
        </w:rPr>
        <w:t>. Trumpalaikio apgyvendinimo pastatų (viešbučių paskirties pastatų (viešbučių, motelių, svečių namų) ir poilsio paskirties pastatų (turizmo centrai, poilsio</w:t>
      </w:r>
      <w:r>
        <w:rPr>
          <w:lang w:eastAsia="lt-LT"/>
        </w:rPr>
        <w:t xml:space="preserve"> namai, jaunimo nakvynės namai, kempingų pastatai, kaimo turizmo pastatai) prieigos, patekimas į juos, judėjimas ir naudojimasis visomis pagrindinėmis ir pagalbinėmis patalpomis privalo atitikti Reglamento reikalavimus.</w:t>
      </w:r>
    </w:p>
    <w:p w14:paraId="0902FCCC" w14:textId="77777777" w:rsidR="00E36D0B" w:rsidRDefault="0041021E" w:rsidP="0041021E">
      <w:pPr>
        <w:suppressAutoHyphens/>
        <w:ind w:firstLine="709"/>
        <w:jc w:val="both"/>
        <w:rPr>
          <w:lang w:eastAsia="lt-LT"/>
        </w:rPr>
      </w:pPr>
      <w:r>
        <w:rPr>
          <w:lang w:eastAsia="lt-LT"/>
        </w:rPr>
        <w:t>64</w:t>
      </w:r>
      <w:r>
        <w:rPr>
          <w:lang w:eastAsia="lt-LT"/>
        </w:rPr>
        <w:t xml:space="preserve">. Trumpalaikio apgyvendinimo pastatuose privalomas Reglamento 4 lentelėje nustatytas kambarių skaičius su riboto </w:t>
      </w:r>
      <w:proofErr w:type="spellStart"/>
      <w:r>
        <w:rPr>
          <w:lang w:eastAsia="lt-LT"/>
        </w:rPr>
        <w:t>judumo</w:t>
      </w:r>
      <w:proofErr w:type="spellEnd"/>
      <w:r>
        <w:rPr>
          <w:lang w:eastAsia="lt-LT"/>
        </w:rPr>
        <w:t xml:space="preserve"> asmenims tinkamu tualetu ir dušu. </w:t>
      </w:r>
    </w:p>
    <w:p w14:paraId="0902FCCD" w14:textId="4CAFFD48" w:rsidR="00E36D0B" w:rsidRDefault="0041021E" w:rsidP="0041021E">
      <w:pPr>
        <w:suppressAutoHyphens/>
        <w:ind w:firstLine="709"/>
        <w:jc w:val="both"/>
        <w:rPr>
          <w:lang w:eastAsia="lt-LT"/>
        </w:rPr>
      </w:pPr>
      <w:r>
        <w:rPr>
          <w:lang w:eastAsia="lt-LT"/>
        </w:rPr>
        <w:t>65</w:t>
      </w:r>
      <w:r>
        <w:rPr>
          <w:lang w:eastAsia="lt-LT"/>
        </w:rPr>
        <w:t>. Trumpalaikio apgyvendinimo pastatų kambarių minimalūs matmenų ir išdėstymo reikalavimai nusta</w:t>
      </w:r>
      <w:r>
        <w:rPr>
          <w:lang w:eastAsia="lt-LT"/>
        </w:rPr>
        <w:t>tyti ISO 21542:2011 27, 28 ir 29 skyriuose [5.10], o tualetas su dušu įrengiamas vadovaujantis ISO 21542:2011 26.18 papunkčiu [5.10].</w:t>
      </w:r>
    </w:p>
    <w:p w14:paraId="0902FCCE" w14:textId="13304D4D" w:rsidR="00E36D0B" w:rsidRDefault="00E36D0B"/>
    <w:p w14:paraId="0902FCCF" w14:textId="451D3393" w:rsidR="00E36D0B" w:rsidRDefault="0041021E">
      <w:pPr>
        <w:suppressAutoHyphens/>
        <w:jc w:val="right"/>
        <w:rPr>
          <w:lang w:eastAsia="lt-LT"/>
        </w:rPr>
      </w:pPr>
      <w:r>
        <w:rPr>
          <w:lang w:eastAsia="lt-LT"/>
        </w:rPr>
        <w:t>4</w:t>
      </w:r>
      <w:r>
        <w:rPr>
          <w:lang w:eastAsia="lt-LT"/>
        </w:rPr>
        <w:t xml:space="preserve"> lentelė</w:t>
      </w:r>
    </w:p>
    <w:p w14:paraId="0902FCD0" w14:textId="1EFCF15D" w:rsidR="00E36D0B" w:rsidRDefault="0041021E">
      <w:pPr>
        <w:suppressAutoHyphens/>
        <w:jc w:val="center"/>
        <w:rPr>
          <w:lang w:eastAsia="lt-LT"/>
        </w:rPr>
      </w:pPr>
      <w:r>
        <w:rPr>
          <w:lang w:eastAsia="lt-LT"/>
        </w:rPr>
        <w:t>Trumpalaikio apgyvendinimo pastatų kambarių minimalus skaičius su tinkamais kambariais ir dušais vežimėliai</w:t>
      </w:r>
      <w:r>
        <w:rPr>
          <w:lang w:eastAsia="lt-LT"/>
        </w:rPr>
        <w:t>s judantiems asmenims</w:t>
      </w:r>
    </w:p>
    <w:p w14:paraId="0902FCD1" w14:textId="5BB603E1" w:rsidR="00E36D0B" w:rsidRDefault="00E36D0B">
      <w:pPr>
        <w:suppressAutoHyphens/>
        <w:ind w:firstLine="62"/>
        <w:rPr>
          <w:lang w:eastAsia="lt-LT"/>
        </w:rPr>
      </w:pPr>
    </w:p>
    <w:tbl>
      <w:tblPr>
        <w:tblW w:w="8670"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4320"/>
        <w:gridCol w:w="4350"/>
      </w:tblGrid>
      <w:tr w:rsidR="00E36D0B" w14:paraId="0902FCD4" w14:textId="77777777">
        <w:trPr>
          <w:trHeight w:val="740"/>
        </w:trPr>
        <w:tc>
          <w:tcPr>
            <w:tcW w:w="4320" w:type="dxa"/>
            <w:tcBorders>
              <w:top w:val="single" w:sz="18" w:space="0" w:color="000000"/>
              <w:left w:val="single" w:sz="18" w:space="0" w:color="000000"/>
              <w:bottom w:val="single" w:sz="18" w:space="0" w:color="000000"/>
              <w:right w:val="single" w:sz="8" w:space="0" w:color="000000"/>
            </w:tcBorders>
            <w:tcMar>
              <w:top w:w="100" w:type="dxa"/>
              <w:left w:w="100" w:type="dxa"/>
              <w:bottom w:w="100" w:type="dxa"/>
              <w:right w:w="100" w:type="dxa"/>
            </w:tcMar>
          </w:tcPr>
          <w:p w14:paraId="0902FCD2" w14:textId="04346C8F" w:rsidR="00E36D0B" w:rsidRDefault="0041021E">
            <w:pPr>
              <w:suppressAutoHyphens/>
              <w:rPr>
                <w:lang w:eastAsia="lt-LT"/>
              </w:rPr>
            </w:pPr>
            <w:r>
              <w:rPr>
                <w:lang w:eastAsia="lt-LT"/>
              </w:rPr>
              <w:t>Bendras kambarių skaičius</w:t>
            </w:r>
          </w:p>
        </w:tc>
        <w:tc>
          <w:tcPr>
            <w:tcW w:w="4350" w:type="dxa"/>
            <w:tcBorders>
              <w:top w:val="single" w:sz="18" w:space="0" w:color="000000"/>
              <w:left w:val="nil"/>
              <w:bottom w:val="single" w:sz="18" w:space="0" w:color="000000"/>
              <w:right w:val="single" w:sz="18" w:space="0" w:color="000000"/>
            </w:tcBorders>
            <w:tcMar>
              <w:top w:w="100" w:type="dxa"/>
              <w:left w:w="100" w:type="dxa"/>
              <w:bottom w:w="100" w:type="dxa"/>
              <w:right w:w="100" w:type="dxa"/>
            </w:tcMar>
          </w:tcPr>
          <w:p w14:paraId="0902FCD3" w14:textId="77777777" w:rsidR="00E36D0B" w:rsidRDefault="0041021E">
            <w:pPr>
              <w:suppressAutoHyphens/>
              <w:rPr>
                <w:lang w:eastAsia="lt-LT"/>
              </w:rPr>
            </w:pPr>
            <w:r>
              <w:rPr>
                <w:lang w:eastAsia="lt-LT"/>
              </w:rPr>
              <w:t>Tinkamų vežimėliais judantiems asmenims kambarių skaičius</w:t>
            </w:r>
          </w:p>
        </w:tc>
      </w:tr>
      <w:tr w:rsidR="00E36D0B" w14:paraId="0902FCD7" w14:textId="77777777">
        <w:trPr>
          <w:trHeight w:val="620"/>
        </w:trPr>
        <w:tc>
          <w:tcPr>
            <w:tcW w:w="432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902FCD5" w14:textId="77777777" w:rsidR="00E36D0B" w:rsidRDefault="0041021E">
            <w:pPr>
              <w:suppressAutoHyphens/>
              <w:rPr>
                <w:lang w:eastAsia="lt-LT"/>
              </w:rPr>
            </w:pPr>
            <w:r>
              <w:rPr>
                <w:lang w:eastAsia="lt-LT"/>
              </w:rPr>
              <w:t>iki 25</w:t>
            </w:r>
          </w:p>
        </w:tc>
        <w:tc>
          <w:tcPr>
            <w:tcW w:w="4350" w:type="dxa"/>
            <w:tcBorders>
              <w:top w:val="nil"/>
              <w:left w:val="nil"/>
              <w:bottom w:val="single" w:sz="8" w:space="0" w:color="000000"/>
              <w:right w:val="single" w:sz="18" w:space="0" w:color="000000"/>
            </w:tcBorders>
            <w:tcMar>
              <w:top w:w="100" w:type="dxa"/>
              <w:left w:w="100" w:type="dxa"/>
              <w:bottom w:w="100" w:type="dxa"/>
              <w:right w:w="100" w:type="dxa"/>
            </w:tcMar>
          </w:tcPr>
          <w:p w14:paraId="0902FCD6" w14:textId="77777777" w:rsidR="00E36D0B" w:rsidRDefault="0041021E">
            <w:pPr>
              <w:suppressAutoHyphens/>
              <w:rPr>
                <w:lang w:eastAsia="lt-LT"/>
              </w:rPr>
            </w:pPr>
            <w:r>
              <w:rPr>
                <w:lang w:eastAsia="lt-LT"/>
              </w:rPr>
              <w:t>2</w:t>
            </w:r>
          </w:p>
        </w:tc>
      </w:tr>
      <w:tr w:rsidR="00E36D0B" w14:paraId="0902FCDA" w14:textId="77777777">
        <w:trPr>
          <w:trHeight w:val="620"/>
        </w:trPr>
        <w:tc>
          <w:tcPr>
            <w:tcW w:w="432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902FCD8" w14:textId="77777777" w:rsidR="00E36D0B" w:rsidRDefault="0041021E">
            <w:pPr>
              <w:suppressAutoHyphens/>
              <w:rPr>
                <w:lang w:eastAsia="lt-LT"/>
              </w:rPr>
            </w:pPr>
            <w:r>
              <w:rPr>
                <w:lang w:eastAsia="lt-LT"/>
              </w:rPr>
              <w:t>26 – 50</w:t>
            </w:r>
          </w:p>
        </w:tc>
        <w:tc>
          <w:tcPr>
            <w:tcW w:w="4350" w:type="dxa"/>
            <w:tcBorders>
              <w:top w:val="nil"/>
              <w:left w:val="nil"/>
              <w:bottom w:val="single" w:sz="8" w:space="0" w:color="000000"/>
              <w:right w:val="single" w:sz="18" w:space="0" w:color="000000"/>
            </w:tcBorders>
            <w:tcMar>
              <w:top w:w="100" w:type="dxa"/>
              <w:left w:w="100" w:type="dxa"/>
              <w:bottom w:w="100" w:type="dxa"/>
              <w:right w:w="100" w:type="dxa"/>
            </w:tcMar>
          </w:tcPr>
          <w:p w14:paraId="0902FCD9" w14:textId="77777777" w:rsidR="00E36D0B" w:rsidRDefault="0041021E">
            <w:pPr>
              <w:suppressAutoHyphens/>
              <w:rPr>
                <w:lang w:eastAsia="lt-LT"/>
              </w:rPr>
            </w:pPr>
            <w:r>
              <w:rPr>
                <w:lang w:eastAsia="lt-LT"/>
              </w:rPr>
              <w:t>3</w:t>
            </w:r>
          </w:p>
        </w:tc>
      </w:tr>
      <w:tr w:rsidR="00E36D0B" w14:paraId="0902FCDD" w14:textId="77777777">
        <w:trPr>
          <w:trHeight w:val="620"/>
        </w:trPr>
        <w:tc>
          <w:tcPr>
            <w:tcW w:w="432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902FCDB" w14:textId="77777777" w:rsidR="00E36D0B" w:rsidRDefault="0041021E">
            <w:pPr>
              <w:suppressAutoHyphens/>
              <w:rPr>
                <w:lang w:eastAsia="lt-LT"/>
              </w:rPr>
            </w:pPr>
            <w:r>
              <w:rPr>
                <w:lang w:eastAsia="lt-LT"/>
              </w:rPr>
              <w:t>51 – 75</w:t>
            </w:r>
          </w:p>
        </w:tc>
        <w:tc>
          <w:tcPr>
            <w:tcW w:w="4350" w:type="dxa"/>
            <w:tcBorders>
              <w:top w:val="nil"/>
              <w:left w:val="nil"/>
              <w:bottom w:val="single" w:sz="8" w:space="0" w:color="000000"/>
              <w:right w:val="single" w:sz="18" w:space="0" w:color="000000"/>
            </w:tcBorders>
            <w:tcMar>
              <w:top w:w="100" w:type="dxa"/>
              <w:left w:w="100" w:type="dxa"/>
              <w:bottom w:w="100" w:type="dxa"/>
              <w:right w:w="100" w:type="dxa"/>
            </w:tcMar>
          </w:tcPr>
          <w:p w14:paraId="0902FCDC" w14:textId="77777777" w:rsidR="00E36D0B" w:rsidRDefault="0041021E">
            <w:pPr>
              <w:suppressAutoHyphens/>
              <w:rPr>
                <w:lang w:eastAsia="lt-LT"/>
              </w:rPr>
            </w:pPr>
            <w:r>
              <w:rPr>
                <w:lang w:eastAsia="lt-LT"/>
              </w:rPr>
              <w:t>4</w:t>
            </w:r>
          </w:p>
        </w:tc>
      </w:tr>
      <w:tr w:rsidR="00E36D0B" w14:paraId="0902FCE0" w14:textId="77777777">
        <w:trPr>
          <w:trHeight w:val="620"/>
        </w:trPr>
        <w:tc>
          <w:tcPr>
            <w:tcW w:w="432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902FCDE" w14:textId="77777777" w:rsidR="00E36D0B" w:rsidRDefault="0041021E">
            <w:pPr>
              <w:suppressAutoHyphens/>
              <w:rPr>
                <w:lang w:eastAsia="lt-LT"/>
              </w:rPr>
            </w:pPr>
            <w:r>
              <w:rPr>
                <w:lang w:eastAsia="lt-LT"/>
              </w:rPr>
              <w:t>76 – 100</w:t>
            </w:r>
          </w:p>
        </w:tc>
        <w:tc>
          <w:tcPr>
            <w:tcW w:w="4350" w:type="dxa"/>
            <w:tcBorders>
              <w:top w:val="nil"/>
              <w:left w:val="nil"/>
              <w:bottom w:val="single" w:sz="8" w:space="0" w:color="000000"/>
              <w:right w:val="single" w:sz="18" w:space="0" w:color="000000"/>
            </w:tcBorders>
            <w:tcMar>
              <w:top w:w="100" w:type="dxa"/>
              <w:left w:w="100" w:type="dxa"/>
              <w:bottom w:w="100" w:type="dxa"/>
              <w:right w:w="100" w:type="dxa"/>
            </w:tcMar>
          </w:tcPr>
          <w:p w14:paraId="0902FCDF" w14:textId="77777777" w:rsidR="00E36D0B" w:rsidRDefault="0041021E">
            <w:pPr>
              <w:suppressAutoHyphens/>
              <w:rPr>
                <w:lang w:eastAsia="lt-LT"/>
              </w:rPr>
            </w:pPr>
            <w:r>
              <w:rPr>
                <w:lang w:eastAsia="lt-LT"/>
              </w:rPr>
              <w:t>5</w:t>
            </w:r>
          </w:p>
        </w:tc>
      </w:tr>
      <w:tr w:rsidR="00E36D0B" w14:paraId="0902FCE3" w14:textId="77777777">
        <w:trPr>
          <w:trHeight w:val="620"/>
        </w:trPr>
        <w:tc>
          <w:tcPr>
            <w:tcW w:w="432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902FCE1" w14:textId="77777777" w:rsidR="00E36D0B" w:rsidRDefault="0041021E">
            <w:pPr>
              <w:suppressAutoHyphens/>
              <w:rPr>
                <w:lang w:eastAsia="lt-LT"/>
              </w:rPr>
            </w:pPr>
            <w:r>
              <w:rPr>
                <w:lang w:eastAsia="lt-LT"/>
              </w:rPr>
              <w:t>101 – 150</w:t>
            </w:r>
          </w:p>
        </w:tc>
        <w:tc>
          <w:tcPr>
            <w:tcW w:w="4350" w:type="dxa"/>
            <w:tcBorders>
              <w:top w:val="nil"/>
              <w:left w:val="nil"/>
              <w:bottom w:val="single" w:sz="8" w:space="0" w:color="000000"/>
              <w:right w:val="single" w:sz="18" w:space="0" w:color="000000"/>
            </w:tcBorders>
            <w:tcMar>
              <w:top w:w="100" w:type="dxa"/>
              <w:left w:w="100" w:type="dxa"/>
              <w:bottom w:w="100" w:type="dxa"/>
              <w:right w:w="100" w:type="dxa"/>
            </w:tcMar>
          </w:tcPr>
          <w:p w14:paraId="0902FCE2" w14:textId="77777777" w:rsidR="00E36D0B" w:rsidRDefault="0041021E">
            <w:pPr>
              <w:suppressAutoHyphens/>
              <w:rPr>
                <w:lang w:eastAsia="lt-LT"/>
              </w:rPr>
            </w:pPr>
            <w:r>
              <w:rPr>
                <w:lang w:eastAsia="lt-LT"/>
              </w:rPr>
              <w:t>7</w:t>
            </w:r>
          </w:p>
        </w:tc>
      </w:tr>
      <w:tr w:rsidR="00E36D0B" w14:paraId="0902FCE6" w14:textId="77777777">
        <w:trPr>
          <w:trHeight w:val="620"/>
        </w:trPr>
        <w:tc>
          <w:tcPr>
            <w:tcW w:w="432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902FCE4" w14:textId="77777777" w:rsidR="00E36D0B" w:rsidRDefault="0041021E">
            <w:pPr>
              <w:suppressAutoHyphens/>
              <w:rPr>
                <w:lang w:eastAsia="lt-LT"/>
              </w:rPr>
            </w:pPr>
            <w:r>
              <w:rPr>
                <w:lang w:eastAsia="lt-LT"/>
              </w:rPr>
              <w:t>151 – 200</w:t>
            </w:r>
          </w:p>
        </w:tc>
        <w:tc>
          <w:tcPr>
            <w:tcW w:w="4350" w:type="dxa"/>
            <w:tcBorders>
              <w:top w:val="nil"/>
              <w:left w:val="nil"/>
              <w:bottom w:val="single" w:sz="8" w:space="0" w:color="000000"/>
              <w:right w:val="single" w:sz="18" w:space="0" w:color="000000"/>
            </w:tcBorders>
            <w:tcMar>
              <w:top w:w="100" w:type="dxa"/>
              <w:left w:w="100" w:type="dxa"/>
              <w:bottom w:w="100" w:type="dxa"/>
              <w:right w:w="100" w:type="dxa"/>
            </w:tcMar>
          </w:tcPr>
          <w:p w14:paraId="0902FCE5" w14:textId="77777777" w:rsidR="00E36D0B" w:rsidRDefault="0041021E">
            <w:pPr>
              <w:suppressAutoHyphens/>
              <w:rPr>
                <w:lang w:eastAsia="lt-LT"/>
              </w:rPr>
            </w:pPr>
            <w:r>
              <w:rPr>
                <w:lang w:eastAsia="lt-LT"/>
              </w:rPr>
              <w:t>8</w:t>
            </w:r>
          </w:p>
        </w:tc>
      </w:tr>
      <w:tr w:rsidR="00E36D0B" w14:paraId="0902FCE9" w14:textId="77777777">
        <w:trPr>
          <w:trHeight w:val="620"/>
        </w:trPr>
        <w:tc>
          <w:tcPr>
            <w:tcW w:w="432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902FCE7" w14:textId="77777777" w:rsidR="00E36D0B" w:rsidRDefault="0041021E">
            <w:pPr>
              <w:suppressAutoHyphens/>
              <w:rPr>
                <w:lang w:eastAsia="lt-LT"/>
              </w:rPr>
            </w:pPr>
            <w:r>
              <w:rPr>
                <w:lang w:eastAsia="lt-LT"/>
              </w:rPr>
              <w:t>201 – 300</w:t>
            </w:r>
          </w:p>
        </w:tc>
        <w:tc>
          <w:tcPr>
            <w:tcW w:w="4350" w:type="dxa"/>
            <w:tcBorders>
              <w:top w:val="nil"/>
              <w:left w:val="nil"/>
              <w:bottom w:val="single" w:sz="8" w:space="0" w:color="000000"/>
              <w:right w:val="single" w:sz="18" w:space="0" w:color="000000"/>
            </w:tcBorders>
            <w:tcMar>
              <w:top w:w="100" w:type="dxa"/>
              <w:left w:w="100" w:type="dxa"/>
              <w:bottom w:w="100" w:type="dxa"/>
              <w:right w:w="100" w:type="dxa"/>
            </w:tcMar>
          </w:tcPr>
          <w:p w14:paraId="0902FCE8" w14:textId="77777777" w:rsidR="00E36D0B" w:rsidRDefault="0041021E">
            <w:pPr>
              <w:suppressAutoHyphens/>
              <w:rPr>
                <w:lang w:eastAsia="lt-LT"/>
              </w:rPr>
            </w:pPr>
            <w:r>
              <w:rPr>
                <w:lang w:eastAsia="lt-LT"/>
              </w:rPr>
              <w:t>10</w:t>
            </w:r>
          </w:p>
        </w:tc>
      </w:tr>
      <w:tr w:rsidR="00E36D0B" w14:paraId="0902FCEC" w14:textId="77777777">
        <w:trPr>
          <w:trHeight w:val="620"/>
        </w:trPr>
        <w:tc>
          <w:tcPr>
            <w:tcW w:w="432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902FCEA" w14:textId="77777777" w:rsidR="00E36D0B" w:rsidRDefault="0041021E">
            <w:pPr>
              <w:suppressAutoHyphens/>
              <w:rPr>
                <w:lang w:eastAsia="lt-LT"/>
              </w:rPr>
            </w:pPr>
            <w:r>
              <w:rPr>
                <w:lang w:eastAsia="lt-LT"/>
              </w:rPr>
              <w:t>301 – 400</w:t>
            </w:r>
          </w:p>
        </w:tc>
        <w:tc>
          <w:tcPr>
            <w:tcW w:w="4350" w:type="dxa"/>
            <w:tcBorders>
              <w:top w:val="nil"/>
              <w:left w:val="nil"/>
              <w:bottom w:val="single" w:sz="8" w:space="0" w:color="000000"/>
              <w:right w:val="single" w:sz="18" w:space="0" w:color="000000"/>
            </w:tcBorders>
            <w:tcMar>
              <w:top w:w="100" w:type="dxa"/>
              <w:left w:w="100" w:type="dxa"/>
              <w:bottom w:w="100" w:type="dxa"/>
              <w:right w:w="100" w:type="dxa"/>
            </w:tcMar>
          </w:tcPr>
          <w:p w14:paraId="0902FCEB" w14:textId="77777777" w:rsidR="00E36D0B" w:rsidRDefault="0041021E">
            <w:pPr>
              <w:suppressAutoHyphens/>
              <w:rPr>
                <w:lang w:eastAsia="lt-LT"/>
              </w:rPr>
            </w:pPr>
            <w:r>
              <w:rPr>
                <w:lang w:eastAsia="lt-LT"/>
              </w:rPr>
              <w:t>12</w:t>
            </w:r>
          </w:p>
        </w:tc>
      </w:tr>
      <w:tr w:rsidR="00E36D0B" w14:paraId="0902FCEF" w14:textId="77777777">
        <w:trPr>
          <w:trHeight w:val="620"/>
        </w:trPr>
        <w:tc>
          <w:tcPr>
            <w:tcW w:w="432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902FCED" w14:textId="77777777" w:rsidR="00E36D0B" w:rsidRDefault="0041021E">
            <w:pPr>
              <w:suppressAutoHyphens/>
              <w:rPr>
                <w:lang w:eastAsia="lt-LT"/>
              </w:rPr>
            </w:pPr>
            <w:r>
              <w:rPr>
                <w:lang w:eastAsia="lt-LT"/>
              </w:rPr>
              <w:t>401 – 500</w:t>
            </w:r>
          </w:p>
        </w:tc>
        <w:tc>
          <w:tcPr>
            <w:tcW w:w="4350" w:type="dxa"/>
            <w:tcBorders>
              <w:top w:val="nil"/>
              <w:left w:val="nil"/>
              <w:bottom w:val="single" w:sz="8" w:space="0" w:color="000000"/>
              <w:right w:val="single" w:sz="18" w:space="0" w:color="000000"/>
            </w:tcBorders>
            <w:tcMar>
              <w:top w:w="100" w:type="dxa"/>
              <w:left w:w="100" w:type="dxa"/>
              <w:bottom w:w="100" w:type="dxa"/>
              <w:right w:w="100" w:type="dxa"/>
            </w:tcMar>
          </w:tcPr>
          <w:p w14:paraId="0902FCEE" w14:textId="77777777" w:rsidR="00E36D0B" w:rsidRDefault="0041021E">
            <w:pPr>
              <w:suppressAutoHyphens/>
              <w:rPr>
                <w:lang w:eastAsia="lt-LT"/>
              </w:rPr>
            </w:pPr>
            <w:r>
              <w:rPr>
                <w:lang w:eastAsia="lt-LT"/>
              </w:rPr>
              <w:t>13</w:t>
            </w:r>
          </w:p>
        </w:tc>
      </w:tr>
      <w:tr w:rsidR="00E36D0B" w14:paraId="0902FCF2" w14:textId="77777777">
        <w:trPr>
          <w:trHeight w:val="1060"/>
        </w:trPr>
        <w:tc>
          <w:tcPr>
            <w:tcW w:w="432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902FCF0" w14:textId="77777777" w:rsidR="00E36D0B" w:rsidRDefault="0041021E">
            <w:pPr>
              <w:suppressAutoHyphens/>
              <w:rPr>
                <w:lang w:eastAsia="lt-LT"/>
              </w:rPr>
            </w:pPr>
            <w:r>
              <w:rPr>
                <w:lang w:eastAsia="lt-LT"/>
              </w:rPr>
              <w:t>501 ir daugiau 1000</w:t>
            </w:r>
          </w:p>
        </w:tc>
        <w:tc>
          <w:tcPr>
            <w:tcW w:w="4350" w:type="dxa"/>
            <w:tcBorders>
              <w:top w:val="nil"/>
              <w:left w:val="nil"/>
              <w:bottom w:val="single" w:sz="8" w:space="0" w:color="000000"/>
              <w:right w:val="single" w:sz="18" w:space="0" w:color="000000"/>
            </w:tcBorders>
            <w:tcMar>
              <w:top w:w="100" w:type="dxa"/>
              <w:left w:w="100" w:type="dxa"/>
              <w:bottom w:w="100" w:type="dxa"/>
              <w:right w:w="100" w:type="dxa"/>
            </w:tcMar>
          </w:tcPr>
          <w:p w14:paraId="0902FCF1" w14:textId="77777777" w:rsidR="00E36D0B" w:rsidRDefault="0041021E">
            <w:pPr>
              <w:suppressAutoHyphens/>
              <w:rPr>
                <w:lang w:eastAsia="lt-LT"/>
              </w:rPr>
            </w:pPr>
            <w:r>
              <w:rPr>
                <w:lang w:eastAsia="lt-LT"/>
              </w:rPr>
              <w:t xml:space="preserve">3 procentai </w:t>
            </w:r>
            <w:r>
              <w:rPr>
                <w:lang w:eastAsia="lt-LT"/>
              </w:rPr>
              <w:t>nuo bendro skaičiaus</w:t>
            </w:r>
          </w:p>
        </w:tc>
      </w:tr>
    </w:tbl>
    <w:p w14:paraId="1AC580E1" w14:textId="77777777" w:rsidR="0041021E" w:rsidRDefault="0041021E">
      <w:pPr>
        <w:suppressAutoHyphens/>
        <w:ind w:firstLine="62"/>
        <w:rPr>
          <w:b/>
          <w:lang w:eastAsia="lt-LT"/>
        </w:rPr>
      </w:pPr>
    </w:p>
    <w:p w14:paraId="0902FCF3" w14:textId="6161E8FF" w:rsidR="00E36D0B" w:rsidRDefault="0041021E">
      <w:pPr>
        <w:suppressAutoHyphens/>
        <w:ind w:firstLine="62"/>
        <w:rPr>
          <w:b/>
          <w:lang w:eastAsia="lt-LT"/>
        </w:rPr>
      </w:pPr>
    </w:p>
    <w:p w14:paraId="0902FCF4" w14:textId="77777777" w:rsidR="00E36D0B" w:rsidRDefault="0041021E">
      <w:pPr>
        <w:suppressAutoHyphens/>
        <w:jc w:val="center"/>
        <w:rPr>
          <w:b/>
          <w:lang w:eastAsia="lt-LT"/>
        </w:rPr>
      </w:pPr>
      <w:r>
        <w:rPr>
          <w:b/>
          <w:lang w:eastAsia="lt-LT"/>
        </w:rPr>
        <w:t>XVII</w:t>
      </w:r>
      <w:r>
        <w:rPr>
          <w:b/>
          <w:lang w:eastAsia="lt-LT"/>
        </w:rPr>
        <w:t xml:space="preserve"> SKYRIUS</w:t>
      </w:r>
    </w:p>
    <w:p w14:paraId="0902FCF5" w14:textId="77777777" w:rsidR="00E36D0B" w:rsidRDefault="0041021E">
      <w:pPr>
        <w:suppressAutoHyphens/>
        <w:jc w:val="center"/>
        <w:rPr>
          <w:b/>
          <w:lang w:eastAsia="lt-LT"/>
        </w:rPr>
      </w:pPr>
      <w:r>
        <w:rPr>
          <w:b/>
          <w:lang w:eastAsia="lt-LT"/>
        </w:rPr>
        <w:t>GRINDŲ IR SIENŲ PAVIRŠIAI</w:t>
      </w:r>
    </w:p>
    <w:p w14:paraId="0902FCF6" w14:textId="77777777" w:rsidR="00E36D0B" w:rsidRDefault="00E36D0B">
      <w:pPr>
        <w:suppressAutoHyphens/>
        <w:rPr>
          <w:b/>
          <w:lang w:eastAsia="lt-LT"/>
        </w:rPr>
      </w:pPr>
    </w:p>
    <w:p w14:paraId="0902FCF7" w14:textId="77777777" w:rsidR="00E36D0B" w:rsidRDefault="0041021E">
      <w:pPr>
        <w:suppressAutoHyphens/>
        <w:ind w:firstLine="709"/>
        <w:rPr>
          <w:lang w:eastAsia="lt-LT"/>
        </w:rPr>
      </w:pPr>
      <w:r>
        <w:rPr>
          <w:lang w:eastAsia="lt-LT"/>
        </w:rPr>
        <w:t>66</w:t>
      </w:r>
      <w:r>
        <w:rPr>
          <w:lang w:eastAsia="lt-LT"/>
        </w:rPr>
        <w:t>. Grindų ir sienų paviršiai įrengiami vadovaujantis ISO 21542:2011 31 skyriumi [5.10].</w:t>
      </w:r>
    </w:p>
    <w:p w14:paraId="0902FCF8" w14:textId="77777777" w:rsidR="00E36D0B" w:rsidRDefault="00E36D0B">
      <w:pPr>
        <w:suppressAutoHyphens/>
        <w:rPr>
          <w:b/>
          <w:lang w:eastAsia="lt-LT"/>
        </w:rPr>
      </w:pPr>
    </w:p>
    <w:p w14:paraId="0902FCF9" w14:textId="77777777" w:rsidR="00E36D0B" w:rsidRDefault="0041021E">
      <w:pPr>
        <w:suppressAutoHyphens/>
        <w:rPr>
          <w:b/>
          <w:lang w:eastAsia="lt-LT"/>
        </w:rPr>
      </w:pPr>
    </w:p>
    <w:p w14:paraId="0902FCFA" w14:textId="77777777" w:rsidR="00E36D0B" w:rsidRDefault="0041021E">
      <w:pPr>
        <w:suppressAutoHyphens/>
        <w:jc w:val="center"/>
        <w:rPr>
          <w:b/>
          <w:lang w:eastAsia="lt-LT"/>
        </w:rPr>
      </w:pPr>
      <w:r>
        <w:rPr>
          <w:b/>
          <w:lang w:eastAsia="lt-LT"/>
        </w:rPr>
        <w:t>XVIII</w:t>
      </w:r>
      <w:r>
        <w:rPr>
          <w:b/>
          <w:lang w:eastAsia="lt-LT"/>
        </w:rPr>
        <w:t xml:space="preserve"> SKYRIUS</w:t>
      </w:r>
    </w:p>
    <w:p w14:paraId="0902FCFB" w14:textId="77777777" w:rsidR="00E36D0B" w:rsidRDefault="0041021E">
      <w:pPr>
        <w:suppressAutoHyphens/>
        <w:jc w:val="center"/>
        <w:rPr>
          <w:b/>
          <w:lang w:eastAsia="lt-LT"/>
        </w:rPr>
      </w:pPr>
      <w:r>
        <w:rPr>
          <w:b/>
          <w:lang w:eastAsia="lt-LT"/>
        </w:rPr>
        <w:t>APŠVIETIMAS</w:t>
      </w:r>
    </w:p>
    <w:p w14:paraId="0902FCFC" w14:textId="77777777" w:rsidR="00E36D0B" w:rsidRDefault="00E36D0B">
      <w:pPr>
        <w:suppressAutoHyphens/>
        <w:rPr>
          <w:b/>
          <w:lang w:eastAsia="lt-LT"/>
        </w:rPr>
      </w:pPr>
    </w:p>
    <w:p w14:paraId="0902FCFD" w14:textId="77777777" w:rsidR="00E36D0B" w:rsidRDefault="0041021E" w:rsidP="0041021E">
      <w:pPr>
        <w:suppressAutoHyphens/>
        <w:ind w:firstLine="709"/>
        <w:jc w:val="both"/>
        <w:rPr>
          <w:lang w:eastAsia="lt-LT"/>
        </w:rPr>
      </w:pPr>
      <w:r>
        <w:rPr>
          <w:lang w:eastAsia="lt-LT"/>
        </w:rPr>
        <w:t>67</w:t>
      </w:r>
      <w:r>
        <w:rPr>
          <w:lang w:eastAsia="lt-LT"/>
        </w:rPr>
        <w:t xml:space="preserve">. Lauko ir statinių vidaus apšvietimas projektuojamas vadovaujantis HN 98:2000 [5.7] ir ISO 21542:2011 33 skyriaus [5.10] reikalavimais.  </w:t>
      </w:r>
    </w:p>
    <w:p w14:paraId="0902FCFE" w14:textId="77777777" w:rsidR="00E36D0B" w:rsidRDefault="00E36D0B">
      <w:pPr>
        <w:suppressAutoHyphens/>
        <w:rPr>
          <w:b/>
          <w:lang w:eastAsia="lt-LT"/>
        </w:rPr>
      </w:pPr>
    </w:p>
    <w:p w14:paraId="0902FCFF" w14:textId="77777777" w:rsidR="00E36D0B" w:rsidRDefault="0041021E">
      <w:pPr>
        <w:suppressAutoHyphens/>
        <w:rPr>
          <w:b/>
          <w:lang w:eastAsia="lt-LT"/>
        </w:rPr>
      </w:pPr>
    </w:p>
    <w:p w14:paraId="0902FD00" w14:textId="77777777" w:rsidR="00E36D0B" w:rsidRDefault="0041021E">
      <w:pPr>
        <w:suppressAutoHyphens/>
        <w:jc w:val="center"/>
        <w:rPr>
          <w:b/>
          <w:lang w:eastAsia="lt-LT"/>
        </w:rPr>
      </w:pPr>
      <w:r>
        <w:rPr>
          <w:b/>
          <w:lang w:eastAsia="lt-LT"/>
        </w:rPr>
        <w:t>XIX</w:t>
      </w:r>
      <w:r>
        <w:rPr>
          <w:b/>
          <w:lang w:eastAsia="lt-LT"/>
        </w:rPr>
        <w:t xml:space="preserve"> SKYRIUS</w:t>
      </w:r>
    </w:p>
    <w:p w14:paraId="0902FD01" w14:textId="77777777" w:rsidR="00E36D0B" w:rsidRDefault="0041021E">
      <w:pPr>
        <w:suppressAutoHyphens/>
        <w:jc w:val="center"/>
        <w:rPr>
          <w:b/>
          <w:lang w:eastAsia="lt-LT"/>
        </w:rPr>
      </w:pPr>
      <w:r>
        <w:rPr>
          <w:b/>
          <w:lang w:eastAsia="lt-LT"/>
        </w:rPr>
        <w:t>REGIMASIS KONTRASTAS</w:t>
      </w:r>
    </w:p>
    <w:p w14:paraId="0902FD02" w14:textId="77777777" w:rsidR="00E36D0B" w:rsidRDefault="00E36D0B">
      <w:pPr>
        <w:suppressAutoHyphens/>
        <w:rPr>
          <w:b/>
          <w:lang w:eastAsia="lt-LT"/>
        </w:rPr>
      </w:pPr>
    </w:p>
    <w:p w14:paraId="0902FD03" w14:textId="77777777" w:rsidR="00E36D0B" w:rsidRDefault="0041021E" w:rsidP="0041021E">
      <w:pPr>
        <w:suppressAutoHyphens/>
        <w:ind w:firstLine="709"/>
        <w:jc w:val="both"/>
        <w:rPr>
          <w:lang w:eastAsia="lt-LT"/>
        </w:rPr>
      </w:pPr>
      <w:r>
        <w:rPr>
          <w:lang w:eastAsia="lt-LT"/>
        </w:rPr>
        <w:t>68</w:t>
      </w:r>
      <w:r>
        <w:rPr>
          <w:lang w:eastAsia="lt-LT"/>
        </w:rPr>
        <w:t xml:space="preserve">. Parenkant statinių apdailą turi būti vadovaujamasi ISO 21542:2011 35 skyriumi [5.10]. </w:t>
      </w:r>
    </w:p>
    <w:p w14:paraId="0902FD04" w14:textId="77777777" w:rsidR="00E36D0B" w:rsidRDefault="0041021E">
      <w:pPr>
        <w:suppressAutoHyphens/>
        <w:rPr>
          <w:b/>
          <w:lang w:eastAsia="lt-LT"/>
        </w:rPr>
      </w:pPr>
    </w:p>
    <w:p w14:paraId="0902FD05" w14:textId="77777777" w:rsidR="00E36D0B" w:rsidRDefault="0041021E">
      <w:pPr>
        <w:suppressAutoHyphens/>
        <w:jc w:val="center"/>
        <w:rPr>
          <w:b/>
          <w:lang w:eastAsia="lt-LT"/>
        </w:rPr>
      </w:pPr>
      <w:r>
        <w:rPr>
          <w:b/>
          <w:lang w:eastAsia="lt-LT"/>
        </w:rPr>
        <w:t>XX</w:t>
      </w:r>
      <w:r>
        <w:rPr>
          <w:b/>
          <w:lang w:eastAsia="lt-LT"/>
        </w:rPr>
        <w:t xml:space="preserve"> SKYRIUS</w:t>
      </w:r>
    </w:p>
    <w:p w14:paraId="0902FD06" w14:textId="77777777" w:rsidR="00E36D0B" w:rsidRDefault="0041021E">
      <w:pPr>
        <w:suppressAutoHyphens/>
        <w:jc w:val="center"/>
        <w:rPr>
          <w:b/>
          <w:lang w:eastAsia="lt-LT"/>
        </w:rPr>
      </w:pPr>
      <w:r>
        <w:rPr>
          <w:b/>
          <w:lang w:eastAsia="lt-LT"/>
        </w:rPr>
        <w:t>ĮRANGA, VALDYMO ĮTAISAI IR JUNGIKLIAI</w:t>
      </w:r>
    </w:p>
    <w:p w14:paraId="0902FD07" w14:textId="77777777" w:rsidR="00E36D0B" w:rsidRDefault="00E36D0B">
      <w:pPr>
        <w:suppressAutoHyphens/>
        <w:rPr>
          <w:b/>
          <w:lang w:eastAsia="lt-LT"/>
        </w:rPr>
      </w:pPr>
    </w:p>
    <w:p w14:paraId="0902FD08" w14:textId="77777777" w:rsidR="00E36D0B" w:rsidRDefault="0041021E" w:rsidP="0041021E">
      <w:pPr>
        <w:pBdr>
          <w:top w:val="nil"/>
          <w:left w:val="nil"/>
          <w:bottom w:val="nil"/>
          <w:right w:val="nil"/>
          <w:between w:val="nil"/>
        </w:pBdr>
        <w:suppressAutoHyphens/>
        <w:ind w:firstLine="709"/>
        <w:jc w:val="both"/>
        <w:rPr>
          <w:lang w:eastAsia="lt-LT"/>
        </w:rPr>
      </w:pPr>
      <w:r>
        <w:rPr>
          <w:lang w:eastAsia="lt-LT"/>
        </w:rPr>
        <w:t>69</w:t>
      </w:r>
      <w:r>
        <w:rPr>
          <w:lang w:eastAsia="lt-LT"/>
        </w:rPr>
        <w:t>. Valdymo įranga, įtaisai ir jungikliai įrengiami pagal ISO 21542:2011 36 skyriaus [5.10] reikalavimus.</w:t>
      </w:r>
    </w:p>
    <w:p w14:paraId="0902FD09" w14:textId="77777777" w:rsidR="00E36D0B" w:rsidRDefault="0041021E">
      <w:pPr>
        <w:suppressAutoHyphens/>
        <w:rPr>
          <w:b/>
          <w:lang w:eastAsia="lt-LT"/>
        </w:rPr>
      </w:pPr>
    </w:p>
    <w:p w14:paraId="0902FD0A" w14:textId="77777777" w:rsidR="00E36D0B" w:rsidRDefault="0041021E">
      <w:pPr>
        <w:suppressAutoHyphens/>
        <w:jc w:val="center"/>
        <w:rPr>
          <w:b/>
          <w:lang w:eastAsia="lt-LT"/>
        </w:rPr>
      </w:pPr>
      <w:r>
        <w:rPr>
          <w:b/>
          <w:lang w:eastAsia="lt-LT"/>
        </w:rPr>
        <w:t>XXI</w:t>
      </w:r>
      <w:r>
        <w:rPr>
          <w:b/>
          <w:lang w:eastAsia="lt-LT"/>
        </w:rPr>
        <w:t xml:space="preserve"> SKYRIUS</w:t>
      </w:r>
    </w:p>
    <w:p w14:paraId="0902FD0B" w14:textId="77777777" w:rsidR="00E36D0B" w:rsidRDefault="0041021E">
      <w:pPr>
        <w:suppressAutoHyphens/>
        <w:jc w:val="center"/>
        <w:rPr>
          <w:b/>
          <w:lang w:eastAsia="lt-LT"/>
        </w:rPr>
      </w:pPr>
      <w:r>
        <w:rPr>
          <w:b/>
          <w:lang w:eastAsia="lt-LT"/>
        </w:rPr>
        <w:t>GYVENAMŲJŲ VIETOVIŲ APLINKA IR APLINKA UŽ JŲ RIBŲ</w:t>
      </w:r>
    </w:p>
    <w:p w14:paraId="0902FD0C" w14:textId="77777777" w:rsidR="00E36D0B" w:rsidRDefault="00E36D0B"/>
    <w:p w14:paraId="0902FD0D" w14:textId="77777777" w:rsidR="00E36D0B" w:rsidRDefault="0041021E" w:rsidP="0041021E">
      <w:pPr>
        <w:pBdr>
          <w:top w:val="nil"/>
          <w:left w:val="nil"/>
          <w:bottom w:val="nil"/>
          <w:right w:val="nil"/>
          <w:between w:val="nil"/>
        </w:pBdr>
        <w:suppressAutoHyphens/>
        <w:ind w:firstLine="709"/>
        <w:jc w:val="both"/>
        <w:rPr>
          <w:lang w:eastAsia="lt-LT"/>
        </w:rPr>
      </w:pPr>
      <w:r>
        <w:rPr>
          <w:lang w:eastAsia="lt-LT"/>
        </w:rPr>
        <w:t>70</w:t>
      </w:r>
      <w:r>
        <w:rPr>
          <w:lang w:eastAsia="lt-LT"/>
        </w:rPr>
        <w:t xml:space="preserve">. Pėsčiųjų perėjos ir šaligatvio </w:t>
      </w:r>
      <w:proofErr w:type="spellStart"/>
      <w:r>
        <w:rPr>
          <w:lang w:eastAsia="lt-LT"/>
        </w:rPr>
        <w:t>bortelio</w:t>
      </w:r>
      <w:proofErr w:type="spellEnd"/>
      <w:r>
        <w:rPr>
          <w:lang w:eastAsia="lt-LT"/>
        </w:rPr>
        <w:t xml:space="preserve"> </w:t>
      </w:r>
      <w:proofErr w:type="spellStart"/>
      <w:r>
        <w:rPr>
          <w:lang w:eastAsia="lt-LT"/>
        </w:rPr>
        <w:t>nuožulnos</w:t>
      </w:r>
      <w:proofErr w:type="spellEnd"/>
      <w:r>
        <w:rPr>
          <w:lang w:eastAsia="lt-LT"/>
        </w:rPr>
        <w:t xml:space="preserve"> išilginis nuolydis turi atitikti ISO 21542:2011 8 skyriaus 2 lentelės [5.10] reikalavimus.</w:t>
      </w:r>
    </w:p>
    <w:p w14:paraId="0902FD0E" w14:textId="77777777" w:rsidR="00E36D0B" w:rsidRDefault="0041021E" w:rsidP="0041021E">
      <w:pPr>
        <w:suppressAutoHyphens/>
        <w:ind w:firstLine="709"/>
        <w:jc w:val="both"/>
        <w:rPr>
          <w:lang w:eastAsia="lt-LT"/>
        </w:rPr>
      </w:pPr>
      <w:r>
        <w:rPr>
          <w:lang w:eastAsia="lt-LT"/>
        </w:rPr>
        <w:t>71</w:t>
      </w:r>
      <w:r>
        <w:rPr>
          <w:lang w:eastAsia="lt-LT"/>
        </w:rPr>
        <w:t xml:space="preserve">. </w:t>
      </w:r>
      <w:proofErr w:type="spellStart"/>
      <w:r>
        <w:rPr>
          <w:lang w:eastAsia="lt-LT"/>
        </w:rPr>
        <w:t>Bortelio</w:t>
      </w:r>
      <w:proofErr w:type="spellEnd"/>
      <w:r>
        <w:rPr>
          <w:lang w:eastAsia="lt-LT"/>
        </w:rPr>
        <w:t xml:space="preserve"> </w:t>
      </w:r>
      <w:proofErr w:type="spellStart"/>
      <w:r>
        <w:rPr>
          <w:lang w:eastAsia="lt-LT"/>
        </w:rPr>
        <w:t>nuožulnos</w:t>
      </w:r>
      <w:proofErr w:type="spellEnd"/>
      <w:r>
        <w:rPr>
          <w:lang w:eastAsia="lt-LT"/>
        </w:rPr>
        <w:t xml:space="preserve"> plotis be </w:t>
      </w:r>
      <w:r>
        <w:rPr>
          <w:lang w:eastAsia="lt-LT"/>
        </w:rPr>
        <w:t xml:space="preserve">nusklembtų kraštų turi būti ne mažesnis kaip 1 500 mm. Prieš </w:t>
      </w:r>
      <w:proofErr w:type="spellStart"/>
      <w:r>
        <w:rPr>
          <w:lang w:eastAsia="lt-LT"/>
        </w:rPr>
        <w:t>bortelio</w:t>
      </w:r>
      <w:proofErr w:type="spellEnd"/>
      <w:r>
        <w:rPr>
          <w:lang w:eastAsia="lt-LT"/>
        </w:rPr>
        <w:t xml:space="preserve"> </w:t>
      </w:r>
      <w:proofErr w:type="spellStart"/>
      <w:r>
        <w:rPr>
          <w:lang w:eastAsia="lt-LT"/>
        </w:rPr>
        <w:t>nuožulną</w:t>
      </w:r>
      <w:proofErr w:type="spellEnd"/>
      <w:r>
        <w:rPr>
          <w:lang w:eastAsia="lt-LT"/>
        </w:rPr>
        <w:t xml:space="preserve">, iš šaligatvio pusės, turi būti lygi aikštelė ne mažesnė kaip 1 500 x 1 500 mm, kurios nuolydis bet kuria kryptimi negali būti didesnis kaip 1:50 (2 proc.). </w:t>
      </w:r>
      <w:proofErr w:type="spellStart"/>
      <w:r>
        <w:rPr>
          <w:lang w:eastAsia="lt-LT"/>
        </w:rPr>
        <w:t>Bortelio</w:t>
      </w:r>
      <w:proofErr w:type="spellEnd"/>
      <w:r>
        <w:rPr>
          <w:lang w:eastAsia="lt-LT"/>
        </w:rPr>
        <w:t xml:space="preserve"> </w:t>
      </w:r>
      <w:proofErr w:type="spellStart"/>
      <w:r>
        <w:rPr>
          <w:lang w:eastAsia="lt-LT"/>
        </w:rPr>
        <w:t>nuožulnos</w:t>
      </w:r>
      <w:proofErr w:type="spellEnd"/>
      <w:r>
        <w:rPr>
          <w:lang w:eastAsia="lt-LT"/>
        </w:rPr>
        <w:t xml:space="preserve"> k</w:t>
      </w:r>
      <w:r>
        <w:rPr>
          <w:lang w:eastAsia="lt-LT"/>
        </w:rPr>
        <w:t xml:space="preserve">raštai turi būti nusklembti ir jų nuolydis turi būti toks pat, kaip </w:t>
      </w:r>
      <w:proofErr w:type="spellStart"/>
      <w:r>
        <w:rPr>
          <w:lang w:eastAsia="lt-LT"/>
        </w:rPr>
        <w:t>bortelio</w:t>
      </w:r>
      <w:proofErr w:type="spellEnd"/>
      <w:r>
        <w:rPr>
          <w:lang w:eastAsia="lt-LT"/>
        </w:rPr>
        <w:t xml:space="preserve"> </w:t>
      </w:r>
      <w:proofErr w:type="spellStart"/>
      <w:r>
        <w:rPr>
          <w:lang w:eastAsia="lt-LT"/>
        </w:rPr>
        <w:t>nuožulnos</w:t>
      </w:r>
      <w:proofErr w:type="spellEnd"/>
      <w:r>
        <w:rPr>
          <w:lang w:eastAsia="lt-LT"/>
        </w:rPr>
        <w:t xml:space="preserve">. Kai nepakanka vietos prieš </w:t>
      </w:r>
      <w:proofErr w:type="spellStart"/>
      <w:r>
        <w:rPr>
          <w:lang w:eastAsia="lt-LT"/>
        </w:rPr>
        <w:t>bortelio</w:t>
      </w:r>
      <w:proofErr w:type="spellEnd"/>
      <w:r>
        <w:rPr>
          <w:lang w:eastAsia="lt-LT"/>
        </w:rPr>
        <w:t xml:space="preserve"> </w:t>
      </w:r>
      <w:proofErr w:type="spellStart"/>
      <w:r>
        <w:rPr>
          <w:lang w:eastAsia="lt-LT"/>
        </w:rPr>
        <w:t>nuožulną</w:t>
      </w:r>
      <w:proofErr w:type="spellEnd"/>
      <w:r>
        <w:rPr>
          <w:lang w:eastAsia="lt-LT"/>
        </w:rPr>
        <w:t xml:space="preserve"> įrengti ne mažesnės kaip 1500 x 1500 mm lygios aikštelės, gali būti įrengiamos šoninės </w:t>
      </w:r>
      <w:proofErr w:type="spellStart"/>
      <w:r>
        <w:rPr>
          <w:lang w:eastAsia="lt-LT"/>
        </w:rPr>
        <w:t>nuožulnos</w:t>
      </w:r>
      <w:proofErr w:type="spellEnd"/>
      <w:r>
        <w:rPr>
          <w:lang w:eastAsia="lt-LT"/>
        </w:rPr>
        <w:t>, atitinkančios ISO 21542:2</w:t>
      </w:r>
      <w:r>
        <w:rPr>
          <w:lang w:eastAsia="lt-LT"/>
        </w:rPr>
        <w:t>011 8 skyriaus 2 lentelės reikalavimus, lygiagrečios pėsčiųjų takui, su ne mažesne kaip 1 500 x 1 500 mm lygia aikštele prie važiuojamosios dalies pėsčiųjų perėjos lygyje. Pėsčiųjų perėjose įrengiamas vandens drenažas turi atitikti ISO 21542:2011 7.13 papu</w:t>
      </w:r>
      <w:r>
        <w:rPr>
          <w:lang w:eastAsia="lt-LT"/>
        </w:rPr>
        <w:t>nktį [5.10].</w:t>
      </w:r>
    </w:p>
    <w:p w14:paraId="0902FD0F" w14:textId="77777777" w:rsidR="00E36D0B" w:rsidRDefault="0041021E" w:rsidP="0041021E">
      <w:pPr>
        <w:pBdr>
          <w:top w:val="nil"/>
          <w:left w:val="nil"/>
          <w:bottom w:val="nil"/>
          <w:right w:val="nil"/>
          <w:between w:val="nil"/>
        </w:pBdr>
        <w:suppressAutoHyphens/>
        <w:ind w:firstLine="709"/>
        <w:jc w:val="both"/>
        <w:rPr>
          <w:lang w:eastAsia="lt-LT"/>
        </w:rPr>
      </w:pPr>
      <w:r>
        <w:rPr>
          <w:lang w:eastAsia="lt-LT"/>
        </w:rPr>
        <w:t>72</w:t>
      </w:r>
      <w:r>
        <w:rPr>
          <w:lang w:eastAsia="lt-LT"/>
        </w:rPr>
        <w:t xml:space="preserve">. Ties perėja saugos salelės </w:t>
      </w:r>
      <w:proofErr w:type="spellStart"/>
      <w:r>
        <w:rPr>
          <w:lang w:eastAsia="lt-LT"/>
        </w:rPr>
        <w:t>bortelius</w:t>
      </w:r>
      <w:proofErr w:type="spellEnd"/>
      <w:r>
        <w:rPr>
          <w:lang w:eastAsia="lt-LT"/>
        </w:rPr>
        <w:t xml:space="preserve"> privaloma nužeminti iki dangos lygio arba įrengti </w:t>
      </w:r>
      <w:proofErr w:type="spellStart"/>
      <w:r>
        <w:rPr>
          <w:lang w:eastAsia="lt-LT"/>
        </w:rPr>
        <w:t>bortelio</w:t>
      </w:r>
      <w:proofErr w:type="spellEnd"/>
      <w:r>
        <w:rPr>
          <w:lang w:eastAsia="lt-LT"/>
        </w:rPr>
        <w:t xml:space="preserve"> </w:t>
      </w:r>
      <w:proofErr w:type="spellStart"/>
      <w:r>
        <w:rPr>
          <w:lang w:eastAsia="lt-LT"/>
        </w:rPr>
        <w:t>nuožulną</w:t>
      </w:r>
      <w:proofErr w:type="spellEnd"/>
      <w:r>
        <w:rPr>
          <w:lang w:eastAsia="lt-LT"/>
        </w:rPr>
        <w:t>. Šiuo atveju skirtumas tarp paviršių neturi viršyti 5 mm.</w:t>
      </w:r>
    </w:p>
    <w:p w14:paraId="0902FD10" w14:textId="77777777" w:rsidR="00E36D0B" w:rsidRDefault="0041021E" w:rsidP="0041021E">
      <w:pPr>
        <w:pBdr>
          <w:top w:val="nil"/>
          <w:left w:val="nil"/>
          <w:bottom w:val="nil"/>
          <w:right w:val="nil"/>
          <w:between w:val="nil"/>
        </w:pBdr>
        <w:suppressAutoHyphens/>
        <w:ind w:firstLine="709"/>
        <w:jc w:val="both"/>
        <w:rPr>
          <w:lang w:eastAsia="lt-LT"/>
        </w:rPr>
      </w:pPr>
      <w:r>
        <w:rPr>
          <w:lang w:eastAsia="lt-LT"/>
        </w:rPr>
        <w:t>73</w:t>
      </w:r>
      <w:r>
        <w:rPr>
          <w:lang w:eastAsia="lt-LT"/>
        </w:rPr>
        <w:t xml:space="preserve">. Kiekviena </w:t>
      </w:r>
      <w:proofErr w:type="spellStart"/>
      <w:r>
        <w:rPr>
          <w:lang w:eastAsia="lt-LT"/>
        </w:rPr>
        <w:t>bortelio</w:t>
      </w:r>
      <w:proofErr w:type="spellEnd"/>
      <w:r>
        <w:rPr>
          <w:lang w:eastAsia="lt-LT"/>
        </w:rPr>
        <w:t xml:space="preserve"> </w:t>
      </w:r>
      <w:proofErr w:type="spellStart"/>
      <w:r>
        <w:rPr>
          <w:lang w:eastAsia="lt-LT"/>
        </w:rPr>
        <w:t>nuožulna</w:t>
      </w:r>
      <w:proofErr w:type="spellEnd"/>
      <w:r>
        <w:rPr>
          <w:lang w:eastAsia="lt-LT"/>
        </w:rPr>
        <w:t xml:space="preserve"> privalo turėti 560 – 610 mm pločio </w:t>
      </w:r>
      <w:proofErr w:type="spellStart"/>
      <w:r>
        <w:rPr>
          <w:lang w:eastAsia="lt-LT"/>
        </w:rPr>
        <w:t>t</w:t>
      </w:r>
      <w:r>
        <w:rPr>
          <w:lang w:eastAsia="lt-LT"/>
        </w:rPr>
        <w:t>aktilinę</w:t>
      </w:r>
      <w:proofErr w:type="spellEnd"/>
      <w:r>
        <w:rPr>
          <w:lang w:eastAsia="lt-LT"/>
        </w:rPr>
        <w:t xml:space="preserve"> dėmesį atkreipiančią struktūrą, kuri įrengiama per visą </w:t>
      </w:r>
      <w:proofErr w:type="spellStart"/>
      <w:r>
        <w:rPr>
          <w:lang w:eastAsia="lt-LT"/>
        </w:rPr>
        <w:t>nuožulnos</w:t>
      </w:r>
      <w:proofErr w:type="spellEnd"/>
      <w:r>
        <w:rPr>
          <w:lang w:eastAsia="lt-LT"/>
        </w:rPr>
        <w:t xml:space="preserve"> plotį, 300 – 320 mm atstumu nuo įžengimo į važiuojamąją gatvės (kelio) dalį. </w:t>
      </w:r>
    </w:p>
    <w:p w14:paraId="0902FD11" w14:textId="77777777" w:rsidR="00E36D0B" w:rsidRDefault="0041021E" w:rsidP="0041021E">
      <w:pPr>
        <w:suppressAutoHyphens/>
        <w:ind w:firstLine="709"/>
        <w:jc w:val="both"/>
        <w:rPr>
          <w:lang w:eastAsia="lt-LT"/>
        </w:rPr>
      </w:pPr>
      <w:r>
        <w:rPr>
          <w:lang w:eastAsia="lt-LT"/>
        </w:rPr>
        <w:t>74</w:t>
      </w:r>
      <w:r>
        <w:rPr>
          <w:lang w:eastAsia="lt-LT"/>
        </w:rPr>
        <w:t>. Pėsčiųjų ir dviračių takai turi būti atskirti regėjimo negalią turintiems asmenims gerai juntam</w:t>
      </w:r>
      <w:r>
        <w:rPr>
          <w:lang w:eastAsia="lt-LT"/>
        </w:rPr>
        <w:t xml:space="preserve">os faktūros juosta, kuri gali įsiterpti ir į šaligatvį, ir į dviračių takelį (skirtingos faktūros juosta įrengiama panaudojant natūralius akmenis, </w:t>
      </w:r>
      <w:proofErr w:type="spellStart"/>
      <w:r>
        <w:rPr>
          <w:lang w:eastAsia="lt-LT"/>
        </w:rPr>
        <w:t>mozaikinius</w:t>
      </w:r>
      <w:proofErr w:type="spellEnd"/>
      <w:r>
        <w:rPr>
          <w:lang w:eastAsia="lt-LT"/>
        </w:rPr>
        <w:t xml:space="preserve"> akmenis, betoninius blokelius, trinkeles ir pan.).</w:t>
      </w:r>
    </w:p>
    <w:p w14:paraId="0902FD12" w14:textId="77777777" w:rsidR="00E36D0B" w:rsidRDefault="0041021E" w:rsidP="0041021E">
      <w:pPr>
        <w:suppressAutoHyphens/>
        <w:ind w:firstLine="709"/>
        <w:jc w:val="both"/>
        <w:rPr>
          <w:lang w:eastAsia="lt-LT"/>
        </w:rPr>
      </w:pPr>
      <w:r>
        <w:rPr>
          <w:lang w:eastAsia="lt-LT"/>
        </w:rPr>
        <w:t>75</w:t>
      </w:r>
      <w:r>
        <w:rPr>
          <w:lang w:eastAsia="lt-LT"/>
        </w:rPr>
        <w:t xml:space="preserve">. Miestų, miestelių ir kaimų viešosiose </w:t>
      </w:r>
      <w:r>
        <w:rPr>
          <w:lang w:eastAsia="lt-LT"/>
        </w:rPr>
        <w:t xml:space="preserve">erdvėse (tarp jų atskirųjų želdynų, žaliųjų jungčių [5.4]) pėsčiųjų srautus, statinius, erdves, vietas ir objektus jungiančiose trasose (maršrutuose) esantys pėsčiųjų takai (išskyrus skirtus objektų, įrenginių ir sistemų techniniam aptarnavimui) įrengiami </w:t>
      </w:r>
      <w:r>
        <w:rPr>
          <w:lang w:eastAsia="lt-LT"/>
        </w:rPr>
        <w:t xml:space="preserve">pagal ISO 21542:2011 7 ir 9 skyrius [5.10].  </w:t>
      </w:r>
    </w:p>
    <w:p w14:paraId="0902FD13" w14:textId="77777777" w:rsidR="00E36D0B" w:rsidRDefault="0041021E" w:rsidP="0041021E">
      <w:pPr>
        <w:pBdr>
          <w:top w:val="nil"/>
          <w:left w:val="nil"/>
          <w:bottom w:val="nil"/>
          <w:right w:val="nil"/>
          <w:between w:val="nil"/>
        </w:pBdr>
        <w:suppressAutoHyphens/>
        <w:ind w:firstLine="709"/>
        <w:jc w:val="both"/>
        <w:rPr>
          <w:lang w:eastAsia="lt-LT"/>
        </w:rPr>
      </w:pPr>
      <w:r>
        <w:rPr>
          <w:lang w:eastAsia="lt-LT"/>
        </w:rPr>
        <w:t>76</w:t>
      </w:r>
      <w:r>
        <w:rPr>
          <w:lang w:eastAsia="lt-LT"/>
        </w:rPr>
        <w:t xml:space="preserve">. Už gyvenamųjų vietovių ribų įrengiami pėsčiųjų takai </w:t>
      </w:r>
      <w:bookmarkStart w:id="0" w:name="_GoBack"/>
      <w:bookmarkEnd w:id="0"/>
      <w:r>
        <w:rPr>
          <w:lang w:eastAsia="lt-LT"/>
        </w:rPr>
        <w:t>turi atitikti ISO 21542:2011 7, 8 ir 9 skyrių [5.10] nuostatas.</w:t>
      </w:r>
    </w:p>
    <w:p w14:paraId="0902FD14" w14:textId="77777777" w:rsidR="00E36D0B" w:rsidRDefault="0041021E" w:rsidP="0041021E">
      <w:pPr>
        <w:suppressAutoHyphens/>
        <w:ind w:firstLine="709"/>
        <w:jc w:val="both"/>
        <w:rPr>
          <w:lang w:eastAsia="lt-LT"/>
        </w:rPr>
      </w:pPr>
      <w:r>
        <w:rPr>
          <w:lang w:eastAsia="lt-LT"/>
        </w:rPr>
        <w:t>77</w:t>
      </w:r>
      <w:r>
        <w:rPr>
          <w:lang w:eastAsia="lt-LT"/>
        </w:rPr>
        <w:t>. Pėsčiųjų takų, aikščių, parkų ir kitų viešųjų erdvių takų paviršius turi būti</w:t>
      </w:r>
      <w:r>
        <w:rPr>
          <w:lang w:eastAsia="lt-LT"/>
        </w:rPr>
        <w:t xml:space="preserve"> tvirtas, neklampus, stabilus, neslidus sudrėkus, ant jo neturi kauptis lietaus vanduo. Bet kokie nelygumai, iškilumai ar įdubos tako paviršiuje neturi viršyti 5 mm, matuojant vertikaliai nuo aukščiausio iki žemiausio tako paviršiaus taško (šis reikalavima</w:t>
      </w:r>
      <w:r>
        <w:rPr>
          <w:lang w:eastAsia="lt-LT"/>
        </w:rPr>
        <w:t>s netaikomas trinkelių dangų ir plokščių dangų siūlėms). Paviršiaus nuotekų surinkimo grotelės turi būti išdėstytos už pritaikytos trasos (maršruto) ribų. Kitu atveju grotelės išdėstomos pagal ISO 21542:2011 7.13 papunkčio [5.10] reikalavimus.</w:t>
      </w:r>
    </w:p>
    <w:p w14:paraId="0902FD15" w14:textId="77777777" w:rsidR="00E36D0B" w:rsidRDefault="0041021E" w:rsidP="0041021E">
      <w:pPr>
        <w:suppressAutoHyphens/>
        <w:ind w:firstLine="709"/>
        <w:jc w:val="both"/>
        <w:rPr>
          <w:lang w:eastAsia="lt-LT"/>
        </w:rPr>
      </w:pPr>
      <w:r>
        <w:rPr>
          <w:lang w:eastAsia="lt-LT"/>
        </w:rPr>
        <w:t>78</w:t>
      </w:r>
      <w:r>
        <w:rPr>
          <w:lang w:eastAsia="lt-LT"/>
        </w:rPr>
        <w:t xml:space="preserve">. </w:t>
      </w:r>
      <w:r>
        <w:rPr>
          <w:lang w:eastAsia="lt-LT"/>
        </w:rPr>
        <w:t>Miestų, miestelių ir kaimų pėsčiųjų trasose ne rečiau kaip kas 500 m turi būti įrengtos mažiausiai 2 700 mm ilgio ir 1 200 mm pločio poilsio aikštelės. Poilsio aikštelėse turi būti vietos žmonėms atsisėsti ir laisva ne mažesnė kaip 900 mm pločio ir 1200 mm</w:t>
      </w:r>
      <w:r>
        <w:rPr>
          <w:lang w:eastAsia="lt-LT"/>
        </w:rPr>
        <w:t xml:space="preserve"> ilgio erdvė vežimėliais judantiems asmenims.</w:t>
      </w:r>
    </w:p>
    <w:p w14:paraId="0902FD16" w14:textId="77777777" w:rsidR="00E36D0B" w:rsidRDefault="0041021E" w:rsidP="0041021E">
      <w:pPr>
        <w:suppressAutoHyphens/>
        <w:ind w:firstLine="709"/>
        <w:jc w:val="both"/>
        <w:rPr>
          <w:lang w:eastAsia="lt-LT"/>
        </w:rPr>
      </w:pPr>
      <w:r>
        <w:rPr>
          <w:lang w:eastAsia="lt-LT"/>
        </w:rPr>
        <w:t>79</w:t>
      </w:r>
      <w:r>
        <w:rPr>
          <w:lang w:eastAsia="lt-LT"/>
        </w:rPr>
        <w:t>. Kiekvienoje atskiroje apžvalgos aikštelėje turi būti ne mažesnė kaip 1800 mm x 1200 mm dydžio laisva aikštelė žmonėms prieiti. Apžvalgos aikštelių aptvėrimas įrengiamas ištisinis arba dvigubų turėklų 80</w:t>
      </w:r>
      <w:r>
        <w:rPr>
          <w:lang w:eastAsia="lt-LT"/>
        </w:rPr>
        <w:t xml:space="preserve">0 mm ir 1200 mm aukštyje nuo dangos paviršiaus. Aptvarų nepermatomos dalys turi būti įrengiamos ne aukštesnės kaip 1100 mm visomis apžvalgos kryptimis. Apžvalgos aikštelėje turi būti </w:t>
      </w:r>
      <w:proofErr w:type="spellStart"/>
      <w:r>
        <w:rPr>
          <w:lang w:eastAsia="lt-LT"/>
        </w:rPr>
        <w:t>bekliūtė</w:t>
      </w:r>
      <w:proofErr w:type="spellEnd"/>
      <w:r>
        <w:rPr>
          <w:lang w:eastAsia="lt-LT"/>
        </w:rPr>
        <w:t xml:space="preserve"> manevravimo erdvė ne mažesnė kaip 1500 mm skersmens.</w:t>
      </w:r>
    </w:p>
    <w:p w14:paraId="0902FD1B" w14:textId="77777777" w:rsidR="00E36D0B" w:rsidRDefault="0041021E" w:rsidP="0041021E">
      <w:pPr>
        <w:suppressAutoHyphens/>
        <w:jc w:val="both"/>
        <w:rPr>
          <w:lang w:eastAsia="lt-LT"/>
        </w:rPr>
      </w:pPr>
    </w:p>
    <w:p w14:paraId="0902FD1C" w14:textId="77777777" w:rsidR="00E36D0B" w:rsidRDefault="0041021E">
      <w:pPr>
        <w:suppressAutoHyphens/>
        <w:jc w:val="center"/>
        <w:rPr>
          <w:b/>
          <w:caps/>
          <w:lang w:eastAsia="lt-LT"/>
        </w:rPr>
      </w:pPr>
      <w:r>
        <w:rPr>
          <w:b/>
          <w:caps/>
          <w:lang w:eastAsia="lt-LT"/>
        </w:rPr>
        <w:t>XX</w:t>
      </w:r>
      <w:r>
        <w:rPr>
          <w:b/>
          <w:caps/>
          <w:lang w:eastAsia="lt-LT"/>
        </w:rPr>
        <w:t>II</w:t>
      </w:r>
      <w:r>
        <w:rPr>
          <w:b/>
          <w:caps/>
          <w:lang w:eastAsia="lt-LT"/>
        </w:rPr>
        <w:t xml:space="preserve"> SKYRIUS</w:t>
      </w:r>
    </w:p>
    <w:p w14:paraId="0902FD1D" w14:textId="77777777" w:rsidR="00E36D0B" w:rsidRDefault="0041021E">
      <w:pPr>
        <w:suppressAutoHyphens/>
        <w:jc w:val="center"/>
        <w:rPr>
          <w:b/>
          <w:caps/>
          <w:lang w:eastAsia="lt-LT"/>
        </w:rPr>
      </w:pPr>
      <w:r>
        <w:rPr>
          <w:b/>
          <w:caps/>
          <w:lang w:eastAsia="lt-LT"/>
        </w:rPr>
        <w:t>Viešasis susisiekimas</w:t>
      </w:r>
    </w:p>
    <w:p w14:paraId="0902FD1E" w14:textId="77777777" w:rsidR="00E36D0B" w:rsidRDefault="00E36D0B">
      <w:pPr>
        <w:pBdr>
          <w:top w:val="nil"/>
          <w:left w:val="nil"/>
          <w:bottom w:val="nil"/>
          <w:right w:val="nil"/>
          <w:between w:val="nil"/>
        </w:pBdr>
        <w:suppressAutoHyphens/>
        <w:rPr>
          <w:lang w:eastAsia="lt-LT"/>
        </w:rPr>
      </w:pPr>
    </w:p>
    <w:p w14:paraId="0902FD1F" w14:textId="77777777" w:rsidR="00E36D0B" w:rsidRDefault="0041021E" w:rsidP="0041021E">
      <w:pPr>
        <w:pBdr>
          <w:top w:val="nil"/>
          <w:left w:val="nil"/>
          <w:bottom w:val="nil"/>
          <w:right w:val="nil"/>
          <w:between w:val="nil"/>
        </w:pBdr>
        <w:suppressAutoHyphens/>
        <w:ind w:firstLine="709"/>
        <w:jc w:val="both"/>
        <w:rPr>
          <w:lang w:eastAsia="lt-LT"/>
        </w:rPr>
      </w:pPr>
      <w:r>
        <w:rPr>
          <w:lang w:eastAsia="lt-LT"/>
        </w:rPr>
        <w:t>80</w:t>
      </w:r>
      <w:r>
        <w:rPr>
          <w:lang w:eastAsia="lt-LT"/>
        </w:rPr>
        <w:t xml:space="preserve">. Viešojo susisiekimo stotelių peronai (aikštelės), keleivių paviljonai turi būti pritaikyti riboto </w:t>
      </w:r>
      <w:proofErr w:type="spellStart"/>
      <w:r>
        <w:rPr>
          <w:lang w:eastAsia="lt-LT"/>
        </w:rPr>
        <w:t>judumo</w:t>
      </w:r>
      <w:proofErr w:type="spellEnd"/>
      <w:r>
        <w:rPr>
          <w:lang w:eastAsia="lt-LT"/>
        </w:rPr>
        <w:t xml:space="preserve"> asmenims ir gyvenamosiose vietovėse jungtis su prieinama judėjimo trasa, įrengta pagal ISO 21542:2011 7 sky</w:t>
      </w:r>
      <w:r>
        <w:rPr>
          <w:lang w:eastAsia="lt-LT"/>
        </w:rPr>
        <w:t>riaus [5.10] reikalavimus.</w:t>
      </w:r>
    </w:p>
    <w:p w14:paraId="0902FD20" w14:textId="77777777" w:rsidR="00E36D0B" w:rsidRDefault="0041021E" w:rsidP="0041021E">
      <w:pPr>
        <w:pBdr>
          <w:top w:val="nil"/>
          <w:left w:val="nil"/>
          <w:bottom w:val="nil"/>
          <w:right w:val="nil"/>
          <w:between w:val="nil"/>
        </w:pBdr>
        <w:suppressAutoHyphens/>
        <w:ind w:firstLine="709"/>
        <w:jc w:val="both"/>
        <w:rPr>
          <w:lang w:eastAsia="lt-LT"/>
        </w:rPr>
      </w:pPr>
      <w:r>
        <w:rPr>
          <w:lang w:eastAsia="lt-LT"/>
        </w:rPr>
        <w:t>81</w:t>
      </w:r>
      <w:r>
        <w:rPr>
          <w:lang w:eastAsia="lt-LT"/>
        </w:rPr>
        <w:t>. Peronų (aikštelių) ir keleivių paviljonų grindinio paviršius turi būti tvirtas ir stabilus, o grindinio nuolydis bet kuria kryptimi negali būti didesnis kaip 1:50 (2 proc.). Mažiausias peronų (aikštelių) ilgis – 2 440 mm,</w:t>
      </w:r>
      <w:r>
        <w:rPr>
          <w:lang w:eastAsia="lt-LT"/>
        </w:rPr>
        <w:t xml:space="preserve"> o plotis – 1 500 mm. </w:t>
      </w:r>
    </w:p>
    <w:p w14:paraId="0902FD24" w14:textId="77558D97" w:rsidR="00E36D0B" w:rsidRDefault="0041021E" w:rsidP="0041021E">
      <w:pPr>
        <w:pBdr>
          <w:top w:val="nil"/>
          <w:left w:val="nil"/>
          <w:bottom w:val="nil"/>
          <w:right w:val="nil"/>
          <w:between w:val="nil"/>
        </w:pBdr>
        <w:suppressAutoHyphens/>
        <w:ind w:firstLine="709"/>
        <w:jc w:val="both"/>
        <w:rPr>
          <w:lang w:eastAsia="lt-LT"/>
        </w:rPr>
      </w:pPr>
      <w:r>
        <w:rPr>
          <w:lang w:eastAsia="lt-LT"/>
        </w:rPr>
        <w:t>82</w:t>
      </w:r>
      <w:r>
        <w:rPr>
          <w:lang w:eastAsia="lt-LT"/>
        </w:rPr>
        <w:t xml:space="preserve">. Per visą viešojo susisiekimo stotelių peronų (aikštelių) ilgį įrengiama 540 – 600 mm pločio </w:t>
      </w:r>
      <w:proofErr w:type="spellStart"/>
      <w:r>
        <w:rPr>
          <w:lang w:eastAsia="lt-LT"/>
        </w:rPr>
        <w:t>taktilinė</w:t>
      </w:r>
      <w:proofErr w:type="spellEnd"/>
      <w:r>
        <w:rPr>
          <w:lang w:eastAsia="lt-LT"/>
        </w:rPr>
        <w:t xml:space="preserve"> dėmesį atkreipianti struktūra, kuri nuo važiuojamosios dalies ar šaligatvio borto atitraukiama 300 mm. Peronų (aikštelių) p</w:t>
      </w:r>
      <w:r>
        <w:rPr>
          <w:lang w:eastAsia="lt-LT"/>
        </w:rPr>
        <w:t xml:space="preserve">radžioje ir pabaigoje statmenai </w:t>
      </w:r>
      <w:proofErr w:type="spellStart"/>
      <w:r>
        <w:rPr>
          <w:lang w:eastAsia="lt-LT"/>
        </w:rPr>
        <w:t>taktilinei</w:t>
      </w:r>
      <w:proofErr w:type="spellEnd"/>
      <w:r>
        <w:rPr>
          <w:lang w:eastAsia="lt-LT"/>
        </w:rPr>
        <w:t xml:space="preserve"> dėmesį atkreipiančiai struktūrai per visą šaligatvio plotį įrengiama 540 – 600 mm pločio </w:t>
      </w:r>
      <w:proofErr w:type="spellStart"/>
      <w:r>
        <w:rPr>
          <w:lang w:eastAsia="lt-LT"/>
        </w:rPr>
        <w:t>taktilinė</w:t>
      </w:r>
      <w:proofErr w:type="spellEnd"/>
      <w:r>
        <w:rPr>
          <w:lang w:eastAsia="lt-LT"/>
        </w:rPr>
        <w:t xml:space="preserve"> dėmesį atkreipianti struktūra.</w:t>
      </w:r>
    </w:p>
    <w:p w14:paraId="74D3A5A0" w14:textId="77777777" w:rsidR="0041021E" w:rsidRDefault="0041021E">
      <w:pPr>
        <w:suppressAutoHyphens/>
        <w:ind w:left="6930"/>
        <w:sectPr w:rsidR="0041021E" w:rsidSect="0041021E">
          <w:footnotePr>
            <w:pos w:val="beneathText"/>
          </w:footnotePr>
          <w:pgSz w:w="11905" w:h="16837"/>
          <w:pgMar w:top="1134" w:right="567" w:bottom="1134" w:left="1701" w:header="567" w:footer="567" w:gutter="0"/>
          <w:pgNumType w:start="1"/>
          <w:cols w:space="1296"/>
          <w:formProt w:val="0"/>
          <w:titlePg/>
          <w:docGrid w:linePitch="360"/>
        </w:sectPr>
      </w:pPr>
    </w:p>
    <w:p w14:paraId="0902FD25" w14:textId="1E065ABC" w:rsidR="00E36D0B" w:rsidRDefault="0041021E">
      <w:pPr>
        <w:suppressAutoHyphens/>
        <w:ind w:left="6930"/>
        <w:rPr>
          <w:lang w:eastAsia="lt-LT"/>
        </w:rPr>
      </w:pPr>
      <w:r>
        <w:rPr>
          <w:lang w:eastAsia="lt-LT"/>
        </w:rPr>
        <w:lastRenderedPageBreak/>
        <w:t>Statybos techninio reglamento  STR 2.03.01:2019 „Statinių prieinamumas“</w:t>
      </w:r>
    </w:p>
    <w:p w14:paraId="0902FD26" w14:textId="77777777" w:rsidR="00E36D0B" w:rsidRDefault="0041021E">
      <w:pPr>
        <w:suppressAutoHyphens/>
        <w:ind w:left="6930"/>
        <w:rPr>
          <w:lang w:eastAsia="lt-LT"/>
        </w:rPr>
      </w:pPr>
      <w:r>
        <w:rPr>
          <w:lang w:eastAsia="lt-LT"/>
        </w:rPr>
        <w:t>1</w:t>
      </w:r>
      <w:r>
        <w:rPr>
          <w:lang w:eastAsia="lt-LT"/>
        </w:rPr>
        <w:t xml:space="preserve"> priedas</w:t>
      </w:r>
    </w:p>
    <w:p w14:paraId="0902FD27" w14:textId="77777777" w:rsidR="00E36D0B" w:rsidRDefault="00E36D0B">
      <w:pPr>
        <w:suppressAutoHyphens/>
        <w:ind w:firstLine="700"/>
        <w:rPr>
          <w:lang w:eastAsia="lt-LT"/>
        </w:rPr>
      </w:pPr>
    </w:p>
    <w:p w14:paraId="0902FD28" w14:textId="77777777" w:rsidR="00E36D0B" w:rsidRDefault="00E36D0B">
      <w:pPr>
        <w:suppressAutoHyphens/>
        <w:ind w:firstLine="700"/>
        <w:rPr>
          <w:lang w:eastAsia="lt-LT"/>
        </w:rPr>
      </w:pPr>
    </w:p>
    <w:p w14:paraId="0902FD29" w14:textId="77777777" w:rsidR="00E36D0B" w:rsidRDefault="0041021E">
      <w:pPr>
        <w:suppressAutoHyphens/>
        <w:jc w:val="center"/>
        <w:rPr>
          <w:lang w:eastAsia="lt-LT"/>
        </w:rPr>
      </w:pPr>
      <w:r>
        <w:rPr>
          <w:b/>
          <w:lang w:eastAsia="lt-LT"/>
        </w:rPr>
        <w:t>STATINIŲ, KURIE TURI BŪTI PRITAIKOMI SPECIALIESIEMS NEĮGALIŲJŲ POREIKIAMS, SĄRAŠAS</w:t>
      </w:r>
    </w:p>
    <w:p w14:paraId="0902FD2A" w14:textId="77777777" w:rsidR="00E36D0B" w:rsidRDefault="0041021E">
      <w:pPr>
        <w:suppressAutoHyphens/>
        <w:ind w:firstLine="700"/>
        <w:rPr>
          <w:lang w:eastAsia="lt-LT"/>
        </w:rPr>
      </w:pPr>
      <w:r>
        <w:rPr>
          <w:lang w:eastAsia="lt-LT"/>
        </w:rPr>
        <w:t>1</w:t>
      </w:r>
      <w:r>
        <w:rPr>
          <w:lang w:eastAsia="lt-LT"/>
        </w:rPr>
        <w:t>. Gyvenamieji pastatai:</w:t>
      </w:r>
    </w:p>
    <w:p w14:paraId="0902FD2B" w14:textId="77777777" w:rsidR="00E36D0B" w:rsidRDefault="0041021E">
      <w:pPr>
        <w:suppressAutoHyphens/>
        <w:ind w:firstLine="700"/>
        <w:rPr>
          <w:lang w:eastAsia="lt-LT"/>
        </w:rPr>
      </w:pPr>
      <w:r>
        <w:rPr>
          <w:lang w:eastAsia="lt-LT"/>
        </w:rPr>
        <w:t>1.1</w:t>
      </w:r>
      <w:r>
        <w:rPr>
          <w:lang w:eastAsia="lt-LT"/>
        </w:rPr>
        <w:t xml:space="preserve">. gyvenamosios paskirties (trijų ir daugiau butų (daugiabučiai) pastatai (namai); </w:t>
      </w:r>
    </w:p>
    <w:p w14:paraId="0902FD2C" w14:textId="77777777" w:rsidR="00E36D0B" w:rsidRDefault="0041021E">
      <w:pPr>
        <w:suppressAutoHyphens/>
        <w:ind w:firstLine="700"/>
        <w:rPr>
          <w:lang w:eastAsia="lt-LT"/>
        </w:rPr>
      </w:pPr>
      <w:r>
        <w:rPr>
          <w:lang w:eastAsia="lt-LT"/>
        </w:rPr>
        <w:t>1.2</w:t>
      </w:r>
      <w:r>
        <w:rPr>
          <w:lang w:eastAsia="lt-LT"/>
        </w:rPr>
        <w:t>. gyvenamosios paskirties (įvairių so</w:t>
      </w:r>
      <w:r>
        <w:rPr>
          <w:lang w:eastAsia="lt-LT"/>
        </w:rPr>
        <w:t>cialinių grupių asmenims) pastatai (namai).</w:t>
      </w:r>
    </w:p>
    <w:p w14:paraId="0902FD2D" w14:textId="77777777" w:rsidR="00E36D0B" w:rsidRDefault="0041021E">
      <w:pPr>
        <w:suppressAutoHyphens/>
        <w:ind w:firstLine="700"/>
        <w:rPr>
          <w:lang w:eastAsia="lt-LT"/>
        </w:rPr>
      </w:pPr>
      <w:r>
        <w:rPr>
          <w:lang w:eastAsia="lt-LT"/>
        </w:rPr>
        <w:t>2</w:t>
      </w:r>
      <w:r>
        <w:rPr>
          <w:lang w:eastAsia="lt-LT"/>
        </w:rPr>
        <w:t xml:space="preserve">. Negyvenamieji pastatai: </w:t>
      </w:r>
    </w:p>
    <w:p w14:paraId="0902FD2E" w14:textId="77777777" w:rsidR="00E36D0B" w:rsidRDefault="0041021E">
      <w:pPr>
        <w:suppressAutoHyphens/>
        <w:ind w:firstLine="700"/>
        <w:rPr>
          <w:lang w:eastAsia="lt-LT"/>
        </w:rPr>
      </w:pPr>
      <w:r>
        <w:rPr>
          <w:lang w:eastAsia="lt-LT"/>
        </w:rPr>
        <w:t>2.1</w:t>
      </w:r>
      <w:r>
        <w:rPr>
          <w:lang w:eastAsia="lt-LT"/>
        </w:rPr>
        <w:t xml:space="preserve">. viešbučių paskirties pastatai; </w:t>
      </w:r>
    </w:p>
    <w:p w14:paraId="0902FD2F" w14:textId="77777777" w:rsidR="00E36D0B" w:rsidRDefault="0041021E">
      <w:pPr>
        <w:suppressAutoHyphens/>
        <w:ind w:firstLine="700"/>
        <w:rPr>
          <w:lang w:eastAsia="lt-LT"/>
        </w:rPr>
      </w:pPr>
      <w:r>
        <w:rPr>
          <w:lang w:eastAsia="lt-LT"/>
        </w:rPr>
        <w:t>2.2</w:t>
      </w:r>
      <w:r>
        <w:rPr>
          <w:lang w:eastAsia="lt-LT"/>
        </w:rPr>
        <w:t>. administracinės paskirties pastatai; prekybos paskirties pastatai;</w:t>
      </w:r>
    </w:p>
    <w:p w14:paraId="0902FD30" w14:textId="77777777" w:rsidR="00E36D0B" w:rsidRDefault="0041021E">
      <w:pPr>
        <w:suppressAutoHyphens/>
        <w:ind w:firstLine="700"/>
        <w:rPr>
          <w:lang w:eastAsia="lt-LT"/>
        </w:rPr>
      </w:pPr>
      <w:r>
        <w:rPr>
          <w:lang w:eastAsia="lt-LT"/>
        </w:rPr>
        <w:t>2.3</w:t>
      </w:r>
      <w:r>
        <w:rPr>
          <w:lang w:eastAsia="lt-LT"/>
        </w:rPr>
        <w:t>. paslaugų paskirties pastatai; maitinimo paskirties pas</w:t>
      </w:r>
      <w:r>
        <w:rPr>
          <w:lang w:eastAsia="lt-LT"/>
        </w:rPr>
        <w:t>tatai;</w:t>
      </w:r>
    </w:p>
    <w:p w14:paraId="0902FD31" w14:textId="77777777" w:rsidR="00E36D0B" w:rsidRDefault="0041021E">
      <w:pPr>
        <w:suppressAutoHyphens/>
        <w:ind w:firstLine="700"/>
        <w:rPr>
          <w:lang w:eastAsia="lt-LT"/>
        </w:rPr>
      </w:pPr>
      <w:r>
        <w:rPr>
          <w:lang w:eastAsia="lt-LT"/>
        </w:rPr>
        <w:t>2.4</w:t>
      </w:r>
      <w:r>
        <w:rPr>
          <w:lang w:eastAsia="lt-LT"/>
        </w:rPr>
        <w:t>. transporto paskirties pastatai;</w:t>
      </w:r>
    </w:p>
    <w:p w14:paraId="0902FD32" w14:textId="77777777" w:rsidR="00E36D0B" w:rsidRDefault="0041021E">
      <w:pPr>
        <w:suppressAutoHyphens/>
        <w:ind w:firstLine="700"/>
        <w:rPr>
          <w:lang w:eastAsia="lt-LT"/>
        </w:rPr>
      </w:pPr>
      <w:r>
        <w:rPr>
          <w:lang w:eastAsia="lt-LT"/>
        </w:rPr>
        <w:t>2.5</w:t>
      </w:r>
      <w:r>
        <w:rPr>
          <w:lang w:eastAsia="lt-LT"/>
        </w:rPr>
        <w:t>. garažų paskirties pastatai (automobilių saugyklos);</w:t>
      </w:r>
    </w:p>
    <w:p w14:paraId="0902FD33" w14:textId="77777777" w:rsidR="00E36D0B" w:rsidRDefault="0041021E">
      <w:pPr>
        <w:suppressAutoHyphens/>
        <w:ind w:firstLine="700"/>
        <w:rPr>
          <w:lang w:eastAsia="lt-LT"/>
        </w:rPr>
      </w:pPr>
      <w:r>
        <w:rPr>
          <w:lang w:eastAsia="lt-LT"/>
        </w:rPr>
        <w:t>2.6</w:t>
      </w:r>
      <w:r>
        <w:rPr>
          <w:lang w:eastAsia="lt-LT"/>
        </w:rPr>
        <w:t>. gamybos ir pramonės paskirties pastatai;</w:t>
      </w:r>
    </w:p>
    <w:p w14:paraId="0902FD34" w14:textId="77777777" w:rsidR="00E36D0B" w:rsidRDefault="0041021E">
      <w:pPr>
        <w:suppressAutoHyphens/>
        <w:ind w:firstLine="700"/>
        <w:rPr>
          <w:lang w:eastAsia="lt-LT"/>
        </w:rPr>
      </w:pPr>
      <w:r>
        <w:rPr>
          <w:lang w:eastAsia="lt-LT"/>
        </w:rPr>
        <w:t>2.7</w:t>
      </w:r>
      <w:r>
        <w:rPr>
          <w:lang w:eastAsia="lt-LT"/>
        </w:rPr>
        <w:t>. kultūros paskirties pastatai; mokslo paskirties pastatai;</w:t>
      </w:r>
    </w:p>
    <w:p w14:paraId="0902FD35" w14:textId="77777777" w:rsidR="00E36D0B" w:rsidRDefault="0041021E">
      <w:pPr>
        <w:suppressAutoHyphens/>
        <w:ind w:firstLine="700"/>
        <w:rPr>
          <w:lang w:eastAsia="lt-LT"/>
        </w:rPr>
      </w:pPr>
      <w:r>
        <w:rPr>
          <w:lang w:eastAsia="lt-LT"/>
        </w:rPr>
        <w:t>2.8</w:t>
      </w:r>
      <w:r>
        <w:rPr>
          <w:lang w:eastAsia="lt-LT"/>
        </w:rPr>
        <w:t xml:space="preserve">. gydymo paskirties </w:t>
      </w:r>
      <w:r>
        <w:rPr>
          <w:lang w:eastAsia="lt-LT"/>
        </w:rPr>
        <w:t>pastatai;</w:t>
      </w:r>
    </w:p>
    <w:p w14:paraId="0902FD36" w14:textId="77777777" w:rsidR="00E36D0B" w:rsidRDefault="0041021E">
      <w:pPr>
        <w:suppressAutoHyphens/>
        <w:ind w:firstLine="700"/>
        <w:rPr>
          <w:lang w:eastAsia="lt-LT"/>
        </w:rPr>
      </w:pPr>
      <w:r>
        <w:rPr>
          <w:lang w:eastAsia="lt-LT"/>
        </w:rPr>
        <w:t>2.9</w:t>
      </w:r>
      <w:r>
        <w:rPr>
          <w:lang w:eastAsia="lt-LT"/>
        </w:rPr>
        <w:t>. poilsio paskirties pastatai;</w:t>
      </w:r>
    </w:p>
    <w:p w14:paraId="0902FD37" w14:textId="77777777" w:rsidR="00E36D0B" w:rsidRDefault="0041021E">
      <w:pPr>
        <w:suppressAutoHyphens/>
        <w:ind w:firstLine="700"/>
        <w:rPr>
          <w:lang w:eastAsia="lt-LT"/>
        </w:rPr>
      </w:pPr>
      <w:r>
        <w:rPr>
          <w:lang w:eastAsia="lt-LT"/>
        </w:rPr>
        <w:t>2.10</w:t>
      </w:r>
      <w:r>
        <w:rPr>
          <w:lang w:eastAsia="lt-LT"/>
        </w:rPr>
        <w:t>. sporto paskirties pastatai;</w:t>
      </w:r>
    </w:p>
    <w:p w14:paraId="0902FD38" w14:textId="77777777" w:rsidR="00E36D0B" w:rsidRDefault="0041021E">
      <w:pPr>
        <w:suppressAutoHyphens/>
        <w:ind w:firstLine="700"/>
        <w:rPr>
          <w:lang w:eastAsia="lt-LT"/>
        </w:rPr>
      </w:pPr>
      <w:r>
        <w:rPr>
          <w:lang w:eastAsia="lt-LT"/>
        </w:rPr>
        <w:t>2.11</w:t>
      </w:r>
      <w:r>
        <w:rPr>
          <w:lang w:eastAsia="lt-LT"/>
        </w:rPr>
        <w:t>. religinės paskirties pastatai;</w:t>
      </w:r>
    </w:p>
    <w:p w14:paraId="0902FD39" w14:textId="77777777" w:rsidR="00E36D0B" w:rsidRDefault="0041021E">
      <w:pPr>
        <w:suppressAutoHyphens/>
        <w:ind w:firstLine="700"/>
        <w:rPr>
          <w:lang w:eastAsia="lt-LT"/>
        </w:rPr>
      </w:pPr>
      <w:r>
        <w:rPr>
          <w:lang w:eastAsia="lt-LT"/>
        </w:rPr>
        <w:t>2.12</w:t>
      </w:r>
      <w:r>
        <w:rPr>
          <w:lang w:eastAsia="lt-LT"/>
        </w:rPr>
        <w:t>. specialiosios paskirties pastatai, išskyrus karinių vienetų pastatus, priešgaisrinių ir gelbėjimo tarnybų pastatus, kur</w:t>
      </w:r>
      <w:r>
        <w:rPr>
          <w:lang w:eastAsia="lt-LT"/>
        </w:rPr>
        <w:t>iuose specialiesiems neįgaliųjų poreikiams turi būti pritaikytos tik lankytojams skirtos patalpos;</w:t>
      </w:r>
    </w:p>
    <w:p w14:paraId="0902FD3A" w14:textId="77777777" w:rsidR="00E36D0B" w:rsidRDefault="0041021E">
      <w:pPr>
        <w:suppressAutoHyphens/>
        <w:ind w:left="708"/>
        <w:rPr>
          <w:lang w:eastAsia="lt-LT"/>
        </w:rPr>
      </w:pPr>
      <w:r>
        <w:rPr>
          <w:lang w:eastAsia="lt-LT"/>
        </w:rPr>
        <w:t>2.13</w:t>
      </w:r>
      <w:r>
        <w:rPr>
          <w:lang w:eastAsia="lt-LT"/>
        </w:rPr>
        <w:t>. kitos paskirties pastatai (pastatai, kuriuose numatomi lankytojų srautai).</w:t>
      </w:r>
    </w:p>
    <w:p w14:paraId="0902FD3B" w14:textId="77777777" w:rsidR="00E36D0B" w:rsidRDefault="0041021E">
      <w:pPr>
        <w:suppressAutoHyphens/>
        <w:ind w:firstLine="700"/>
        <w:rPr>
          <w:lang w:eastAsia="lt-LT"/>
        </w:rPr>
      </w:pPr>
      <w:r>
        <w:rPr>
          <w:lang w:eastAsia="lt-LT"/>
        </w:rPr>
        <w:t>3</w:t>
      </w:r>
      <w:r>
        <w:rPr>
          <w:lang w:eastAsia="lt-LT"/>
        </w:rPr>
        <w:t xml:space="preserve">. Susisiekimo komunikacijos: </w:t>
      </w:r>
    </w:p>
    <w:p w14:paraId="0902FD3C" w14:textId="77777777" w:rsidR="00E36D0B" w:rsidRDefault="0041021E">
      <w:pPr>
        <w:suppressAutoHyphens/>
        <w:ind w:firstLine="700"/>
        <w:rPr>
          <w:lang w:eastAsia="lt-LT"/>
        </w:rPr>
      </w:pPr>
      <w:r>
        <w:rPr>
          <w:lang w:eastAsia="lt-LT"/>
        </w:rPr>
        <w:t>3.1</w:t>
      </w:r>
      <w:r>
        <w:rPr>
          <w:lang w:eastAsia="lt-LT"/>
        </w:rPr>
        <w:t>. keliai;</w:t>
      </w:r>
    </w:p>
    <w:p w14:paraId="0902FD3D" w14:textId="77777777" w:rsidR="00E36D0B" w:rsidRDefault="0041021E">
      <w:pPr>
        <w:suppressAutoHyphens/>
        <w:ind w:firstLine="700"/>
        <w:rPr>
          <w:lang w:eastAsia="lt-LT"/>
        </w:rPr>
      </w:pPr>
      <w:r>
        <w:rPr>
          <w:lang w:eastAsia="lt-LT"/>
        </w:rPr>
        <w:t>3.2</w:t>
      </w:r>
      <w:r>
        <w:rPr>
          <w:lang w:eastAsia="lt-LT"/>
        </w:rPr>
        <w:t>. gatvės;</w:t>
      </w:r>
    </w:p>
    <w:p w14:paraId="0902FD3E" w14:textId="77777777" w:rsidR="00E36D0B" w:rsidRDefault="0041021E">
      <w:pPr>
        <w:suppressAutoHyphens/>
        <w:ind w:firstLine="700"/>
        <w:rPr>
          <w:lang w:eastAsia="lt-LT"/>
        </w:rPr>
      </w:pPr>
      <w:r>
        <w:rPr>
          <w:lang w:eastAsia="lt-LT"/>
        </w:rPr>
        <w:t>3</w:t>
      </w:r>
      <w:r>
        <w:rPr>
          <w:lang w:eastAsia="lt-LT"/>
        </w:rPr>
        <w:t>.3</w:t>
      </w:r>
      <w:r>
        <w:rPr>
          <w:lang w:eastAsia="lt-LT"/>
        </w:rPr>
        <w:t>. kiti transporto statiniai (tarp jų automobilių saugyklos).</w:t>
      </w:r>
    </w:p>
    <w:p w14:paraId="0902FD3F" w14:textId="3EC59F87" w:rsidR="00E36D0B" w:rsidRDefault="0041021E">
      <w:pPr>
        <w:suppressAutoHyphens/>
        <w:ind w:left="708"/>
        <w:rPr>
          <w:lang w:eastAsia="lt-LT"/>
        </w:rPr>
      </w:pPr>
      <w:r>
        <w:rPr>
          <w:lang w:eastAsia="lt-LT"/>
        </w:rPr>
        <w:t>4</w:t>
      </w:r>
      <w:r>
        <w:rPr>
          <w:lang w:eastAsia="lt-LT"/>
        </w:rPr>
        <w:t>. Inžineriniai statiniai:</w:t>
      </w:r>
    </w:p>
    <w:p w14:paraId="0902FD40" w14:textId="77777777" w:rsidR="00E36D0B" w:rsidRDefault="0041021E">
      <w:pPr>
        <w:suppressAutoHyphens/>
        <w:ind w:left="708"/>
        <w:rPr>
          <w:lang w:eastAsia="lt-LT"/>
        </w:rPr>
      </w:pPr>
      <w:r>
        <w:rPr>
          <w:lang w:eastAsia="lt-LT"/>
        </w:rPr>
        <w:t>4.1</w:t>
      </w:r>
      <w:r>
        <w:rPr>
          <w:lang w:eastAsia="lt-LT"/>
        </w:rPr>
        <w:t>. sporto paskirties inžineriniai statiniai;</w:t>
      </w:r>
    </w:p>
    <w:p w14:paraId="0902FD41" w14:textId="51545CD1" w:rsidR="00E36D0B" w:rsidRDefault="0041021E">
      <w:pPr>
        <w:suppressAutoHyphens/>
        <w:ind w:left="708"/>
        <w:rPr>
          <w:lang w:eastAsia="lt-LT"/>
        </w:rPr>
      </w:pPr>
      <w:r>
        <w:rPr>
          <w:lang w:eastAsia="lt-LT"/>
        </w:rPr>
        <w:t>4.2</w:t>
      </w:r>
      <w:r>
        <w:rPr>
          <w:lang w:eastAsia="lt-LT"/>
        </w:rPr>
        <w:t>. kitos paskirties inžineriniai statiniai (statiniai, kuriuose numatomi lankytojų srautai).</w:t>
      </w:r>
    </w:p>
    <w:p w14:paraId="0902FD45" w14:textId="17EA2F22" w:rsidR="00E36D0B" w:rsidRDefault="0041021E" w:rsidP="0041021E">
      <w:pPr>
        <w:suppressAutoHyphens/>
        <w:jc w:val="center"/>
      </w:pPr>
      <w:r>
        <w:rPr>
          <w:lang w:eastAsia="lt-LT"/>
        </w:rPr>
        <w:t>______________</w:t>
      </w:r>
    </w:p>
    <w:sectPr w:rsidR="00E36D0B" w:rsidSect="0041021E">
      <w:footnotePr>
        <w:pos w:val="beneathText"/>
      </w:footnotePr>
      <w:pgSz w:w="11905" w:h="16837"/>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2FD4A" w14:textId="77777777" w:rsidR="00E36D0B" w:rsidRDefault="0041021E">
      <w:pPr>
        <w:suppressAutoHyphens/>
        <w:rPr>
          <w:lang w:eastAsia="lt-LT"/>
        </w:rPr>
      </w:pPr>
      <w:r>
        <w:rPr>
          <w:lang w:eastAsia="lt-LT"/>
        </w:rPr>
        <w:separator/>
      </w:r>
    </w:p>
  </w:endnote>
  <w:endnote w:type="continuationSeparator" w:id="0">
    <w:p w14:paraId="0902FD4B" w14:textId="77777777" w:rsidR="00E36D0B" w:rsidRDefault="0041021E">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FD4E" w14:textId="77777777" w:rsidR="00E36D0B" w:rsidRDefault="00E36D0B">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FD4F" w14:textId="77777777" w:rsidR="00E36D0B" w:rsidRDefault="00E36D0B">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FD51" w14:textId="77777777" w:rsidR="00E36D0B" w:rsidRDefault="00E36D0B">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2FD48" w14:textId="77777777" w:rsidR="00E36D0B" w:rsidRDefault="0041021E">
      <w:pPr>
        <w:suppressAutoHyphens/>
        <w:rPr>
          <w:lang w:eastAsia="lt-LT"/>
        </w:rPr>
      </w:pPr>
      <w:r>
        <w:rPr>
          <w:lang w:eastAsia="lt-LT"/>
        </w:rPr>
        <w:separator/>
      </w:r>
    </w:p>
  </w:footnote>
  <w:footnote w:type="continuationSeparator" w:id="0">
    <w:p w14:paraId="0902FD49" w14:textId="77777777" w:rsidR="00E36D0B" w:rsidRDefault="0041021E">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FD4C" w14:textId="77777777" w:rsidR="00E36D0B" w:rsidRDefault="00E36D0B">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158523"/>
      <w:docPartObj>
        <w:docPartGallery w:val="Page Numbers (Top of Page)"/>
        <w:docPartUnique/>
      </w:docPartObj>
    </w:sdtPr>
    <w:sdtContent>
      <w:p w14:paraId="321081E3" w14:textId="29B35A23" w:rsidR="0041021E" w:rsidRDefault="0041021E">
        <w:pPr>
          <w:pStyle w:val="Antrats"/>
          <w:jc w:val="center"/>
        </w:pPr>
        <w:r>
          <w:fldChar w:fldCharType="begin"/>
        </w:r>
        <w:r>
          <w:instrText>PAGE   \* MERGEFORMAT</w:instrText>
        </w:r>
        <w:r>
          <w:fldChar w:fldCharType="separate"/>
        </w:r>
        <w:r>
          <w:rPr>
            <w:noProof/>
          </w:rPr>
          <w:t>11</w:t>
        </w:r>
        <w:r>
          <w:fldChar w:fldCharType="end"/>
        </w:r>
      </w:p>
    </w:sdtContent>
  </w:sdt>
  <w:p w14:paraId="0902FD4D" w14:textId="77777777" w:rsidR="00E36D0B" w:rsidRDefault="00E36D0B">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FD50" w14:textId="77777777" w:rsidR="00E36D0B" w:rsidRDefault="00E36D0B">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67"/>
    <w:rsid w:val="0041021E"/>
    <w:rsid w:val="00CB0667"/>
    <w:rsid w:val="00E36D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02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021E"/>
    <w:rPr>
      <w:color w:val="808080"/>
    </w:rPr>
  </w:style>
  <w:style w:type="paragraph" w:styleId="Antrats">
    <w:name w:val="header"/>
    <w:basedOn w:val="prastasis"/>
    <w:link w:val="AntratsDiagrama"/>
    <w:uiPriority w:val="99"/>
    <w:unhideWhenUsed/>
    <w:rsid w:val="0041021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1021E"/>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021E"/>
    <w:rPr>
      <w:color w:val="808080"/>
    </w:rPr>
  </w:style>
  <w:style w:type="paragraph" w:styleId="Antrats">
    <w:name w:val="header"/>
    <w:basedOn w:val="prastasis"/>
    <w:link w:val="AntratsDiagrama"/>
    <w:uiPriority w:val="99"/>
    <w:unhideWhenUsed/>
    <w:rsid w:val="0041021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1021E"/>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0C"/>
    <w:rsid w:val="00ED0C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0C0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0C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20661</Words>
  <Characters>11777</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2019-11-05T11:19:00Z</dcterms:created>
  <dcterms:modified xsi:type="dcterms:W3CDTF">2019-11-05T13:00:00Z</dcterms:modified>
  <revision>1</revision>
</coreProperties>
</file>