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3F" w:rsidRDefault="0050363F">
      <w:pPr>
        <w:tabs>
          <w:tab w:val="center" w:pos="4986"/>
          <w:tab w:val="right" w:pos="9972"/>
        </w:tabs>
      </w:pPr>
    </w:p>
    <w:p w:rsidR="0050363F" w:rsidRDefault="00C912B0" w:rsidP="00223DBE">
      <w:pPr>
        <w:tabs>
          <w:tab w:val="center" w:pos="4819"/>
          <w:tab w:val="right" w:pos="9638"/>
        </w:tabs>
        <w:jc w:val="center"/>
      </w:pPr>
      <w:bookmarkStart w:id="0" w:name="_GoBack"/>
      <w:r>
        <w:rPr>
          <w:noProof/>
          <w:lang w:eastAsia="lt-LT"/>
        </w:rPr>
        <w:drawing>
          <wp:inline distT="0" distB="0" distL="0" distR="0" wp14:anchorId="0A899BCB" wp14:editId="5C2A7E2E">
            <wp:extent cx="466725" cy="561975"/>
            <wp:effectExtent l="0" t="0" r="9525" b="9525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0363F" w:rsidRDefault="0050363F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:rsidR="0050363F" w:rsidRDefault="00C912B0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:rsidR="0050363F" w:rsidRDefault="0050363F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:rsidR="0050363F" w:rsidRDefault="00C912B0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50363F" w:rsidRDefault="00C912B0">
      <w:pPr>
        <w:keepNext/>
        <w:jc w:val="center"/>
        <w:outlineLvl w:val="2"/>
        <w:rPr>
          <w:b/>
          <w:caps/>
          <w:lang w:val="en-GB"/>
        </w:rPr>
      </w:pPr>
      <w:proofErr w:type="gramStart"/>
      <w:r>
        <w:rPr>
          <w:b/>
          <w:caps/>
          <w:lang w:val="en-GB"/>
        </w:rPr>
        <w:t>DĖL LIETUVOS RESPUBLIKOS SVEIKATOS APSAUGOS MINISTRO 2019 M. RUGPJŪČIO 22 D. ĮSAKYMO NR.</w:t>
      </w:r>
      <w:proofErr w:type="gramEnd"/>
      <w:r>
        <w:rPr>
          <w:b/>
          <w:caps/>
          <w:lang w:val="en-GB"/>
        </w:rPr>
        <w:t xml:space="preserve"> V-1012 „DĖL TUBERKULIOZĖS DIAGNOSTIKOS IR GYDYMO TVARKOS APRAŠO PATVIRTINIMO</w:t>
      </w:r>
      <w:proofErr w:type="gramStart"/>
      <w:r>
        <w:rPr>
          <w:b/>
          <w:caps/>
          <w:lang w:val="en-GB"/>
        </w:rPr>
        <w:t>“ PAKEITIMO</w:t>
      </w:r>
      <w:proofErr w:type="gramEnd"/>
      <w:r>
        <w:rPr>
          <w:b/>
          <w:caps/>
          <w:lang w:val="en-GB"/>
        </w:rPr>
        <w:t xml:space="preserve"> </w:t>
      </w:r>
    </w:p>
    <w:p w:rsidR="0050363F" w:rsidRDefault="0050363F">
      <w:pPr>
        <w:jc w:val="both"/>
        <w:rPr>
          <w:szCs w:val="24"/>
        </w:rPr>
      </w:pPr>
    </w:p>
    <w:p w:rsidR="0050363F" w:rsidRDefault="00C912B0">
      <w:pPr>
        <w:jc w:val="center"/>
        <w:rPr>
          <w:szCs w:val="24"/>
        </w:rPr>
      </w:pPr>
      <w:r>
        <w:rPr>
          <w:szCs w:val="24"/>
        </w:rPr>
        <w:t xml:space="preserve">2020 m. lapkričio </w:t>
      </w:r>
      <w:r>
        <w:rPr>
          <w:szCs w:val="24"/>
          <w:lang w:val="en-US"/>
        </w:rPr>
        <w:t xml:space="preserve">10 </w:t>
      </w:r>
      <w:r>
        <w:rPr>
          <w:szCs w:val="24"/>
        </w:rPr>
        <w:t>d. Nr. V-2570</w:t>
      </w:r>
    </w:p>
    <w:p w:rsidR="0050363F" w:rsidRDefault="00C912B0">
      <w:pPr>
        <w:jc w:val="center"/>
        <w:rPr>
          <w:szCs w:val="24"/>
        </w:rPr>
      </w:pPr>
      <w:r>
        <w:rPr>
          <w:szCs w:val="24"/>
        </w:rPr>
        <w:t>Vilnius</w:t>
      </w:r>
    </w:p>
    <w:p w:rsidR="0050363F" w:rsidRDefault="0050363F">
      <w:pPr>
        <w:tabs>
          <w:tab w:val="left" w:pos="0"/>
        </w:tabs>
        <w:jc w:val="both"/>
        <w:rPr>
          <w:szCs w:val="24"/>
        </w:rPr>
      </w:pPr>
    </w:p>
    <w:p w:rsidR="0050363F" w:rsidRDefault="0050363F">
      <w:pPr>
        <w:suppressAutoHyphens/>
        <w:jc w:val="both"/>
        <w:textAlignment w:val="center"/>
        <w:rPr>
          <w:color w:val="000000"/>
          <w:szCs w:val="24"/>
        </w:rPr>
      </w:pPr>
    </w:p>
    <w:p w:rsidR="0050363F" w:rsidRDefault="00C912B0">
      <w:pPr>
        <w:widowControl w:val="0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e i č i u </w:t>
      </w:r>
      <w:r>
        <w:rPr>
          <w:szCs w:val="24"/>
        </w:rPr>
        <w:t xml:space="preserve">Tuberkuliozės  diagnostikos  ir gydymo </w:t>
      </w:r>
      <w:r>
        <w:rPr>
          <w:color w:val="000000"/>
          <w:szCs w:val="24"/>
          <w:lang w:eastAsia="lt-LT"/>
        </w:rPr>
        <w:t xml:space="preserve">tvarkos aprašą, patvirtintą Lietuvos Respublikos sveikatos apsaugos ministro 2019 m.  rugpjūčio 22 d. įsakymu Nr. V-1012 „Dėl Tuberkuliozės  diagnostikos  ir gydymo tvarkos aprašo patvirtinimo“: </w:t>
      </w:r>
    </w:p>
    <w:p w:rsidR="0050363F" w:rsidRDefault="00223DBE">
      <w:pPr>
        <w:widowControl w:val="0"/>
        <w:ind w:firstLine="709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1</w:t>
      </w:r>
      <w:r w:rsidR="00C912B0">
        <w:rPr>
          <w:color w:val="000000"/>
          <w:szCs w:val="24"/>
          <w:lang w:eastAsia="lt-LT"/>
        </w:rPr>
        <w:t>. Pakeičiu 5 punktą ir jį išdėstau taip:</w:t>
      </w:r>
    </w:p>
    <w:p w:rsidR="0050363F" w:rsidRDefault="00C912B0">
      <w:pPr>
        <w:widowControl w:val="0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Vaikai, sergantys tuberkulioze ir turintys artimą sąlytį su ligoniu, išskiriančiu vaistams nuo tuberkuliozės atsparias TM (RA-TB, DVA-TB, YVA-TB), kuriems tuberkuliozė diagnozuojama tiriamojoje medžiagoje neradus TM, priskiriami prie aprašo 4 punkte nustatytų vaistams atsparios tuberkuliozės ligonių grupių.“</w:t>
      </w:r>
    </w:p>
    <w:p w:rsidR="0050363F" w:rsidRDefault="00223DBE">
      <w:pPr>
        <w:widowControl w:val="0"/>
        <w:ind w:firstLine="709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2</w:t>
      </w:r>
      <w:r w:rsidR="00C912B0">
        <w:rPr>
          <w:color w:val="000000"/>
          <w:szCs w:val="24"/>
          <w:lang w:eastAsia="lt-LT"/>
        </w:rPr>
        <w:t>. Pakeičiu 6.1 papunktį ir jį išdėstau taip:</w:t>
      </w:r>
    </w:p>
    <w:p w:rsidR="0050363F" w:rsidRDefault="00C912B0">
      <w:pPr>
        <w:ind w:firstLine="672"/>
        <w:jc w:val="both"/>
        <w:rPr>
          <w:rFonts w:eastAsia="Calibri"/>
          <w:szCs w:val="24"/>
        </w:rPr>
      </w:pPr>
      <w:r>
        <w:rPr>
          <w:color w:val="000000"/>
          <w:szCs w:val="24"/>
          <w:lang w:eastAsia="lt-LT"/>
        </w:rPr>
        <w:t>„</w:t>
      </w:r>
      <w:r>
        <w:rPr>
          <w:rFonts w:eastAsia="Calibri"/>
          <w:szCs w:val="24"/>
        </w:rPr>
        <w:t>6.1</w:t>
      </w:r>
      <w:r>
        <w:rPr>
          <w:rFonts w:eastAsia="Calibri"/>
          <w:szCs w:val="24"/>
        </w:rPr>
        <w:t xml:space="preserve">. Šeimos gydytojas, įtaręs pacientui plaučių tuberkuliozę (jei ilgiau kaip 3 savaites trunka neaiškios kilmės kosulys ar yra neaiškios kilmės karščiavimas ir prakaitavimas), skiria dviejų krypčių krūtinės ląstos </w:t>
      </w:r>
      <w:proofErr w:type="spellStart"/>
      <w:r>
        <w:rPr>
          <w:rFonts w:eastAsia="Calibri"/>
          <w:szCs w:val="24"/>
        </w:rPr>
        <w:t>rentgenografiją</w:t>
      </w:r>
      <w:proofErr w:type="spellEnd"/>
      <w:r>
        <w:rPr>
          <w:rFonts w:eastAsia="Calibri"/>
          <w:szCs w:val="24"/>
        </w:rPr>
        <w:t xml:space="preserve"> (suaugusiems pacientams) ir tuberkulino mėginį (vaikams); aptikęs tuberkuliozei būdingų požymių, siunčia pas gydytoją pulmonologą arba vaikų pulmonologą.“</w:t>
      </w:r>
    </w:p>
    <w:p w:rsidR="0050363F" w:rsidRDefault="00223DBE">
      <w:pPr>
        <w:ind w:firstLine="868"/>
        <w:rPr>
          <w:szCs w:val="24"/>
        </w:rPr>
      </w:pPr>
      <w:r w:rsidR="00C912B0">
        <w:rPr>
          <w:szCs w:val="24"/>
        </w:rPr>
        <w:t>3</w:t>
      </w:r>
      <w:r w:rsidR="00C912B0">
        <w:rPr>
          <w:szCs w:val="24"/>
        </w:rPr>
        <w:t>. Pakeičiu 10 punktą ir jį išdėstau taip:</w:t>
      </w:r>
    </w:p>
    <w:p w:rsidR="0050363F" w:rsidRDefault="00C912B0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</w:t>
      </w:r>
      <w:r>
        <w:rPr>
          <w:szCs w:val="24"/>
        </w:rPr>
        <w:t xml:space="preserve">. Pradėjus gydymą stacionare arba </w:t>
      </w:r>
      <w:proofErr w:type="spellStart"/>
      <w:r>
        <w:rPr>
          <w:szCs w:val="24"/>
        </w:rPr>
        <w:t>ambulatoriškai</w:t>
      </w:r>
      <w:proofErr w:type="spellEnd"/>
      <w:r>
        <w:rPr>
          <w:szCs w:val="24"/>
        </w:rPr>
        <w:t xml:space="preserve">, suaugusio paciento tiriamojoje medžiagoje nebeaptinkant RAB arba TM, pacientas toliau gali būti gydomas </w:t>
      </w:r>
      <w:proofErr w:type="spellStart"/>
      <w:r>
        <w:rPr>
          <w:szCs w:val="24"/>
        </w:rPr>
        <w:t>ambulatoriškai</w:t>
      </w:r>
      <w:proofErr w:type="spellEnd"/>
      <w:r>
        <w:rPr>
          <w:szCs w:val="24"/>
        </w:rPr>
        <w:t xml:space="preserve"> DOTS kabinete arba naudojant nuotolinę gydymo </w:t>
      </w:r>
      <w:proofErr w:type="spellStart"/>
      <w:r>
        <w:rPr>
          <w:szCs w:val="24"/>
        </w:rPr>
        <w:t>stebėseną</w:t>
      </w:r>
      <w:proofErr w:type="spellEnd"/>
      <w:r>
        <w:rPr>
          <w:szCs w:val="24"/>
        </w:rPr>
        <w:t>.“</w:t>
      </w:r>
    </w:p>
    <w:p w:rsidR="0050363F" w:rsidRDefault="00223DBE">
      <w:pPr>
        <w:widowControl w:val="0"/>
        <w:suppressAutoHyphens/>
        <w:ind w:firstLine="782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4</w:t>
      </w:r>
      <w:r w:rsidR="00C912B0">
        <w:rPr>
          <w:color w:val="000000"/>
          <w:szCs w:val="24"/>
          <w:lang w:eastAsia="lt-LT"/>
        </w:rPr>
        <w:t>.  Pakeičiu 13 punktą ir jį išdėstau taip:</w:t>
      </w:r>
    </w:p>
    <w:p w:rsidR="0050363F" w:rsidRDefault="00C912B0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. Nuotolinė gydymo </w:t>
      </w:r>
      <w:proofErr w:type="spellStart"/>
      <w:r>
        <w:rPr>
          <w:color w:val="000000"/>
          <w:szCs w:val="24"/>
          <w:lang w:eastAsia="lt-LT"/>
        </w:rPr>
        <w:t>stebėsena</w:t>
      </w:r>
      <w:proofErr w:type="spellEnd"/>
      <w:r>
        <w:rPr>
          <w:color w:val="000000"/>
          <w:szCs w:val="24"/>
          <w:lang w:eastAsia="lt-LT"/>
        </w:rPr>
        <w:t xml:space="preserve"> turi būti vykdoma kiekvieną darbo dieną. Jei pacientas, kuriam taikoma nuotolinė gydymo </w:t>
      </w:r>
      <w:proofErr w:type="spellStart"/>
      <w:r>
        <w:rPr>
          <w:color w:val="000000"/>
          <w:szCs w:val="24"/>
          <w:lang w:eastAsia="lt-LT"/>
        </w:rPr>
        <w:t>stebėsena</w:t>
      </w:r>
      <w:proofErr w:type="spellEnd"/>
      <w:r>
        <w:rPr>
          <w:color w:val="000000"/>
          <w:szCs w:val="24"/>
          <w:lang w:eastAsia="lt-LT"/>
        </w:rPr>
        <w:t>, pažeidžia gydymo režimą, jam taikomi tokie patys veiksmai kaip pažeidus režimą lankantis DOTS kabinete.“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5</w:t>
      </w:r>
      <w:r w:rsidR="00C912B0">
        <w:rPr>
          <w:color w:val="000000"/>
          <w:szCs w:val="24"/>
          <w:lang w:eastAsia="lt-LT"/>
        </w:rPr>
        <w:t>. Pakeičiu 15.1.2.12 papunktį ir jį išdėstau taip:</w:t>
      </w:r>
    </w:p>
    <w:p w:rsidR="0050363F" w:rsidRDefault="00C912B0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15.1.2.12</w:t>
      </w:r>
      <w:r>
        <w:rPr>
          <w:color w:val="000000"/>
          <w:szCs w:val="24"/>
          <w:lang w:eastAsia="lt-LT"/>
        </w:rPr>
        <w:t>. žmogaus imunodeficito viruso (toliau – ŽIV) tyrimas Tuberkulioze sergančių asmenų profilaktinio tyrimo dėl žmogaus imunodeficito viruso infekcijos tvarkos aprašo, patvirtinto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color w:val="000000"/>
          <w:szCs w:val="24"/>
          <w:lang w:eastAsia="lt-LT"/>
        </w:rPr>
        <w:t>Lietuvos Respublikos sveikatos apsaugos ministro 2008 m. balandžio 30 d. įsakymu Nr. V-374 „Dėl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color w:val="000000"/>
          <w:szCs w:val="24"/>
          <w:lang w:eastAsia="lt-LT"/>
        </w:rPr>
        <w:t xml:space="preserve">Tuberkulioze sergančių asmenų profilaktinio tyrimo dėl žmogaus imunodeficito viruso infekcijos tvarkos aprašo patvirtinimo“, nustatyta tvarka;“. 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6</w:t>
      </w:r>
      <w:r w:rsidR="00C912B0">
        <w:rPr>
          <w:color w:val="000000"/>
          <w:szCs w:val="24"/>
          <w:lang w:eastAsia="lt-LT"/>
        </w:rPr>
        <w:t>. Pakeičiu 15.2.6 papunktį ir jį išdėstau taip:</w:t>
      </w:r>
    </w:p>
    <w:p w:rsidR="0050363F" w:rsidRDefault="00C912B0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15.2.6</w:t>
      </w:r>
      <w:r>
        <w:rPr>
          <w:color w:val="000000"/>
          <w:szCs w:val="24"/>
          <w:lang w:eastAsia="lt-LT"/>
        </w:rPr>
        <w:t>. Vaistams atsparios tuberkuliozės intensyvios gydymo fazės metu kas mėnesį atliekami šie tyrimai: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15.2.6.1</w:t>
      </w:r>
      <w:r w:rsidR="00C912B0">
        <w:rPr>
          <w:color w:val="000000"/>
          <w:szCs w:val="24"/>
          <w:lang w:eastAsia="lt-LT"/>
        </w:rPr>
        <w:t xml:space="preserve">. bakteriologinis tyrimas dėl TM: 2 skreplių mikroskopijos dėl RAB (suaugusiesiems), 1 rytinių skrandžio </w:t>
      </w:r>
      <w:proofErr w:type="spellStart"/>
      <w:r w:rsidR="00C912B0">
        <w:rPr>
          <w:color w:val="000000"/>
          <w:szCs w:val="24"/>
          <w:lang w:eastAsia="lt-LT"/>
        </w:rPr>
        <w:t>nuoplovų</w:t>
      </w:r>
      <w:proofErr w:type="spellEnd"/>
      <w:r w:rsidR="00C912B0">
        <w:rPr>
          <w:color w:val="000000"/>
          <w:szCs w:val="24"/>
          <w:lang w:eastAsia="lt-LT"/>
        </w:rPr>
        <w:t xml:space="preserve"> mikroskopija dėl RAB (vaikams, neiškosintiems skreplių) ir 1 pasėlis dėl TM;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15.2.6.2</w:t>
      </w:r>
      <w:r w:rsidR="00C912B0">
        <w:rPr>
          <w:color w:val="000000"/>
          <w:szCs w:val="24"/>
          <w:lang w:eastAsia="lt-LT"/>
        </w:rPr>
        <w:t>. bendras kraujo tyrimas;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15.2.6.3</w:t>
      </w:r>
      <w:r w:rsidR="00C912B0">
        <w:rPr>
          <w:color w:val="000000"/>
          <w:szCs w:val="24"/>
          <w:lang w:eastAsia="lt-LT"/>
        </w:rPr>
        <w:t xml:space="preserve">. kepenų fermentų aktyvumo tyrimas; 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15.2.6.4</w:t>
      </w:r>
      <w:r w:rsidR="00C912B0">
        <w:rPr>
          <w:color w:val="000000"/>
          <w:szCs w:val="24"/>
          <w:lang w:eastAsia="lt-LT"/>
        </w:rPr>
        <w:t xml:space="preserve">. </w:t>
      </w:r>
      <w:proofErr w:type="spellStart"/>
      <w:r w:rsidR="00C912B0">
        <w:rPr>
          <w:color w:val="000000"/>
          <w:szCs w:val="24"/>
          <w:lang w:eastAsia="lt-LT"/>
        </w:rPr>
        <w:t>kreatinino</w:t>
      </w:r>
      <w:proofErr w:type="spellEnd"/>
      <w:r w:rsidR="00C912B0">
        <w:rPr>
          <w:color w:val="000000"/>
          <w:szCs w:val="24"/>
          <w:lang w:eastAsia="lt-LT"/>
        </w:rPr>
        <w:t xml:space="preserve"> koncentracijos tyrimas;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15.2.6.5</w:t>
      </w:r>
      <w:r w:rsidR="00C912B0">
        <w:rPr>
          <w:color w:val="000000"/>
          <w:szCs w:val="24"/>
          <w:lang w:eastAsia="lt-LT"/>
        </w:rPr>
        <w:t xml:space="preserve">. kalio koncentracijos tyrimas (jei skiriami injekciniai vaistai nuo tuberkuliozės, </w:t>
      </w:r>
      <w:proofErr w:type="spellStart"/>
      <w:r w:rsidR="00C912B0">
        <w:rPr>
          <w:color w:val="000000"/>
          <w:szCs w:val="24"/>
          <w:lang w:eastAsia="lt-LT"/>
        </w:rPr>
        <w:t>bedakvilinas</w:t>
      </w:r>
      <w:proofErr w:type="spellEnd"/>
      <w:r w:rsidR="00C912B0">
        <w:rPr>
          <w:color w:val="000000"/>
          <w:szCs w:val="24"/>
          <w:lang w:eastAsia="lt-LT"/>
        </w:rPr>
        <w:t xml:space="preserve">, </w:t>
      </w:r>
      <w:proofErr w:type="spellStart"/>
      <w:r w:rsidR="00C912B0">
        <w:rPr>
          <w:color w:val="000000"/>
          <w:szCs w:val="24"/>
          <w:lang w:eastAsia="lt-LT"/>
        </w:rPr>
        <w:t>delamanidas</w:t>
      </w:r>
      <w:proofErr w:type="spellEnd"/>
      <w:r w:rsidR="00C912B0">
        <w:rPr>
          <w:color w:val="000000"/>
          <w:szCs w:val="24"/>
          <w:lang w:eastAsia="lt-LT"/>
        </w:rPr>
        <w:t>);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15.2.6.6</w:t>
      </w:r>
      <w:r w:rsidR="00C912B0">
        <w:rPr>
          <w:color w:val="000000"/>
          <w:szCs w:val="24"/>
          <w:lang w:eastAsia="lt-LT"/>
        </w:rPr>
        <w:t xml:space="preserve">. EKG (jei skiriamas </w:t>
      </w:r>
      <w:proofErr w:type="spellStart"/>
      <w:r w:rsidR="00C912B0">
        <w:rPr>
          <w:color w:val="000000"/>
          <w:szCs w:val="24"/>
          <w:lang w:eastAsia="lt-LT"/>
        </w:rPr>
        <w:t>bedakvilinas</w:t>
      </w:r>
      <w:proofErr w:type="spellEnd"/>
      <w:r w:rsidR="00C912B0">
        <w:rPr>
          <w:color w:val="000000"/>
          <w:szCs w:val="24"/>
          <w:lang w:eastAsia="lt-LT"/>
        </w:rPr>
        <w:t xml:space="preserve"> ar </w:t>
      </w:r>
      <w:proofErr w:type="spellStart"/>
      <w:r w:rsidR="00C912B0">
        <w:rPr>
          <w:color w:val="000000"/>
          <w:szCs w:val="24"/>
          <w:lang w:eastAsia="lt-LT"/>
        </w:rPr>
        <w:t>delamanidas</w:t>
      </w:r>
      <w:proofErr w:type="spellEnd"/>
      <w:r w:rsidR="00C912B0">
        <w:rPr>
          <w:color w:val="000000"/>
          <w:szCs w:val="24"/>
          <w:lang w:eastAsia="lt-LT"/>
        </w:rPr>
        <w:t>);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15.2.6.7</w:t>
      </w:r>
      <w:r w:rsidR="00C912B0">
        <w:rPr>
          <w:color w:val="000000"/>
          <w:szCs w:val="24"/>
          <w:lang w:eastAsia="lt-LT"/>
        </w:rPr>
        <w:t xml:space="preserve">. </w:t>
      </w:r>
      <w:proofErr w:type="spellStart"/>
      <w:r w:rsidR="00C912B0">
        <w:rPr>
          <w:color w:val="000000"/>
          <w:szCs w:val="24"/>
          <w:lang w:eastAsia="lt-LT"/>
        </w:rPr>
        <w:t>audiograma</w:t>
      </w:r>
      <w:proofErr w:type="spellEnd"/>
      <w:r w:rsidR="00C912B0">
        <w:rPr>
          <w:color w:val="000000"/>
          <w:szCs w:val="24"/>
          <w:lang w:eastAsia="lt-LT"/>
        </w:rPr>
        <w:t xml:space="preserve"> (jei skiriamas injekcinis vaistas nuo tuberkuliozės);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15.2.6.8</w:t>
      </w:r>
      <w:r w:rsidR="00C912B0">
        <w:rPr>
          <w:color w:val="000000"/>
          <w:szCs w:val="24"/>
          <w:lang w:eastAsia="lt-LT"/>
        </w:rPr>
        <w:t xml:space="preserve">. regos aštrumo tyrimas (jei skiriamas </w:t>
      </w:r>
      <w:proofErr w:type="spellStart"/>
      <w:r w:rsidR="00C912B0">
        <w:rPr>
          <w:color w:val="000000"/>
          <w:szCs w:val="24"/>
          <w:lang w:eastAsia="lt-LT"/>
        </w:rPr>
        <w:t>linezolidas</w:t>
      </w:r>
      <w:proofErr w:type="spellEnd"/>
      <w:r w:rsidR="00C912B0">
        <w:rPr>
          <w:color w:val="000000"/>
          <w:szCs w:val="24"/>
          <w:lang w:eastAsia="lt-LT"/>
        </w:rPr>
        <w:t>);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15.2.6.9</w:t>
      </w:r>
      <w:r w:rsidR="00C912B0">
        <w:rPr>
          <w:color w:val="000000"/>
          <w:szCs w:val="24"/>
          <w:lang w:eastAsia="lt-LT"/>
        </w:rPr>
        <w:t>. krūtinės ląstos tiesinės rentgenogramos kartojamos kas 3 mėnesius.“</w:t>
      </w:r>
    </w:p>
    <w:p w:rsidR="0050363F" w:rsidRDefault="00223DBE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C912B0">
        <w:rPr>
          <w:color w:val="000000"/>
          <w:szCs w:val="24"/>
          <w:lang w:eastAsia="lt-LT"/>
        </w:rPr>
        <w:t>7</w:t>
      </w:r>
      <w:r w:rsidR="00C912B0">
        <w:rPr>
          <w:color w:val="000000"/>
          <w:szCs w:val="24"/>
          <w:lang w:eastAsia="lt-LT"/>
        </w:rPr>
        <w:t>. Pakeičiu 18 punktą ir jį išdėstau taip:</w:t>
      </w:r>
    </w:p>
    <w:p w:rsidR="0050363F" w:rsidRDefault="00C912B0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18</w:t>
      </w:r>
      <w:r>
        <w:rPr>
          <w:color w:val="000000"/>
          <w:szCs w:val="24"/>
          <w:lang w:eastAsia="lt-LT"/>
        </w:rPr>
        <w:t xml:space="preserve">. Vaistams jautrios tuberkuliozės (nauji ir pakartotiniai atvejai) gydymo schema (arba kai TM jautrumas vaistams nenustatytas): 2 mėnesius skiriamas </w:t>
      </w:r>
      <w:proofErr w:type="spellStart"/>
      <w:r>
        <w:rPr>
          <w:color w:val="000000"/>
          <w:szCs w:val="24"/>
          <w:lang w:eastAsia="lt-LT"/>
        </w:rPr>
        <w:t>izoniazidas</w:t>
      </w:r>
      <w:proofErr w:type="spellEnd"/>
      <w:r>
        <w:rPr>
          <w:color w:val="000000"/>
          <w:szCs w:val="24"/>
          <w:lang w:eastAsia="lt-LT"/>
        </w:rPr>
        <w:t xml:space="preserve"> (H), </w:t>
      </w:r>
      <w:proofErr w:type="spellStart"/>
      <w:r>
        <w:rPr>
          <w:color w:val="000000"/>
          <w:szCs w:val="24"/>
          <w:lang w:eastAsia="lt-LT"/>
        </w:rPr>
        <w:t>rifampicinas</w:t>
      </w:r>
      <w:proofErr w:type="spellEnd"/>
      <w:r>
        <w:rPr>
          <w:color w:val="000000"/>
          <w:szCs w:val="24"/>
          <w:lang w:eastAsia="lt-LT"/>
        </w:rPr>
        <w:t xml:space="preserve"> (R), </w:t>
      </w:r>
      <w:proofErr w:type="spellStart"/>
      <w:r>
        <w:rPr>
          <w:color w:val="000000"/>
          <w:szCs w:val="24"/>
          <w:lang w:eastAsia="lt-LT"/>
        </w:rPr>
        <w:t>pirazinamidas</w:t>
      </w:r>
      <w:proofErr w:type="spellEnd"/>
      <w:r>
        <w:rPr>
          <w:color w:val="000000"/>
          <w:szCs w:val="24"/>
          <w:lang w:eastAsia="lt-LT"/>
        </w:rPr>
        <w:t xml:space="preserve"> (Z),  </w:t>
      </w:r>
      <w:proofErr w:type="spellStart"/>
      <w:r>
        <w:rPr>
          <w:color w:val="000000"/>
          <w:szCs w:val="24"/>
          <w:lang w:eastAsia="lt-LT"/>
        </w:rPr>
        <w:t>etambutolis</w:t>
      </w:r>
      <w:proofErr w:type="spellEnd"/>
      <w:r>
        <w:rPr>
          <w:color w:val="000000"/>
          <w:szCs w:val="24"/>
          <w:lang w:eastAsia="lt-LT"/>
        </w:rPr>
        <w:t xml:space="preserve"> (E) ir 4–12 mėnesių – </w:t>
      </w:r>
      <w:proofErr w:type="spellStart"/>
      <w:r>
        <w:rPr>
          <w:color w:val="000000"/>
          <w:szCs w:val="24"/>
          <w:lang w:eastAsia="lt-LT"/>
        </w:rPr>
        <w:t>izoniazidas</w:t>
      </w:r>
      <w:proofErr w:type="spellEnd"/>
      <w:r>
        <w:rPr>
          <w:color w:val="000000"/>
          <w:szCs w:val="24"/>
          <w:lang w:eastAsia="lt-LT"/>
        </w:rPr>
        <w:t xml:space="preserve"> (H) ir </w:t>
      </w:r>
      <w:proofErr w:type="spellStart"/>
      <w:r>
        <w:rPr>
          <w:color w:val="000000"/>
          <w:szCs w:val="24"/>
          <w:lang w:eastAsia="lt-LT"/>
        </w:rPr>
        <w:t>rifampicinas</w:t>
      </w:r>
      <w:proofErr w:type="spellEnd"/>
      <w:r>
        <w:rPr>
          <w:color w:val="000000"/>
          <w:szCs w:val="24"/>
          <w:lang w:eastAsia="lt-LT"/>
        </w:rPr>
        <w:t xml:space="preserve"> (R) ± </w:t>
      </w:r>
      <w:proofErr w:type="spellStart"/>
      <w:r>
        <w:rPr>
          <w:color w:val="000000"/>
          <w:szCs w:val="24"/>
          <w:lang w:eastAsia="lt-LT"/>
        </w:rPr>
        <w:t>etambutolis</w:t>
      </w:r>
      <w:proofErr w:type="spellEnd"/>
      <w:r>
        <w:rPr>
          <w:color w:val="000000"/>
          <w:szCs w:val="24"/>
          <w:lang w:eastAsia="lt-LT"/>
        </w:rPr>
        <w:t xml:space="preserve"> (E) (2HRZE/4-12HR(E)). Jei žinoma, kad TM jautrios </w:t>
      </w:r>
      <w:proofErr w:type="spellStart"/>
      <w:r>
        <w:rPr>
          <w:color w:val="000000"/>
          <w:szCs w:val="24"/>
          <w:lang w:eastAsia="lt-LT"/>
        </w:rPr>
        <w:t>izoniazidui</w:t>
      </w:r>
      <w:proofErr w:type="spellEnd"/>
      <w:r>
        <w:rPr>
          <w:color w:val="000000"/>
          <w:szCs w:val="24"/>
          <w:lang w:eastAsia="lt-LT"/>
        </w:rPr>
        <w:t xml:space="preserve">, gydymo tęsimo fazėje </w:t>
      </w:r>
      <w:proofErr w:type="spellStart"/>
      <w:r>
        <w:rPr>
          <w:color w:val="000000"/>
          <w:szCs w:val="24"/>
          <w:lang w:eastAsia="lt-LT"/>
        </w:rPr>
        <w:t>etambutolio</w:t>
      </w:r>
      <w:proofErr w:type="spellEnd"/>
      <w:r>
        <w:rPr>
          <w:color w:val="000000"/>
          <w:szCs w:val="24"/>
          <w:lang w:eastAsia="lt-LT"/>
        </w:rPr>
        <w:t xml:space="preserve"> galima neskirti. Gydytojų konsiliumo sprendimu intensyvioji fazė gali būti tęsiama dar 30 dienų (tada taikoma schema 3HRZE/3-</w:t>
      </w:r>
      <w:r>
        <w:rPr>
          <w:color w:val="000000"/>
          <w:szCs w:val="24"/>
          <w:lang w:val="en-US" w:eastAsia="lt-LT"/>
        </w:rPr>
        <w:t>12</w:t>
      </w:r>
      <w:r>
        <w:rPr>
          <w:color w:val="000000"/>
          <w:szCs w:val="24"/>
          <w:lang w:eastAsia="lt-LT"/>
        </w:rPr>
        <w:t>HR(E)).“</w:t>
      </w:r>
    </w:p>
    <w:p w:rsidR="0050363F" w:rsidRDefault="00223DBE">
      <w:pPr>
        <w:ind w:firstLine="744"/>
        <w:jc w:val="both"/>
        <w:rPr>
          <w:rFonts w:eastAsia="Calibri"/>
          <w:szCs w:val="24"/>
          <w:shd w:val="clear" w:color="auto" w:fill="FFFFFF"/>
          <w:lang w:eastAsia="zh-CN"/>
        </w:rPr>
      </w:pPr>
      <w:r w:rsidR="00C912B0">
        <w:rPr>
          <w:rFonts w:eastAsia="Calibri"/>
          <w:szCs w:val="24"/>
          <w:shd w:val="clear" w:color="auto" w:fill="FFFFFF"/>
          <w:lang w:eastAsia="zh-CN"/>
        </w:rPr>
        <w:t>8</w:t>
      </w:r>
      <w:r w:rsidR="00C912B0">
        <w:rPr>
          <w:rFonts w:eastAsia="Calibri"/>
          <w:szCs w:val="24"/>
          <w:shd w:val="clear" w:color="auto" w:fill="FFFFFF"/>
          <w:lang w:eastAsia="zh-CN"/>
        </w:rPr>
        <w:t>. Pakeičiu 21 punktą ir jį išdėstau taip:</w:t>
      </w:r>
    </w:p>
    <w:p w:rsidR="0050363F" w:rsidRDefault="00C912B0">
      <w:pPr>
        <w:ind w:firstLine="620"/>
        <w:jc w:val="both"/>
        <w:rPr>
          <w:rFonts w:eastAsia="Calibri"/>
          <w:szCs w:val="24"/>
          <w:shd w:val="clear" w:color="auto" w:fill="FFFFFF"/>
          <w:lang w:eastAsia="zh-CN"/>
        </w:rPr>
      </w:pPr>
      <w:r>
        <w:rPr>
          <w:rFonts w:eastAsia="Calibri"/>
          <w:szCs w:val="24"/>
          <w:shd w:val="clear" w:color="auto" w:fill="FFFFFF"/>
          <w:lang w:eastAsia="zh-CN"/>
        </w:rPr>
        <w:t>„</w:t>
      </w:r>
      <w:r>
        <w:rPr>
          <w:rFonts w:eastAsia="Calibri"/>
          <w:szCs w:val="24"/>
          <w:shd w:val="clear" w:color="auto" w:fill="FFFFFF"/>
          <w:lang w:eastAsia="zh-CN"/>
        </w:rPr>
        <w:t>21</w:t>
      </w:r>
      <w:r>
        <w:rPr>
          <w:rFonts w:eastAsia="Calibri"/>
          <w:szCs w:val="24"/>
          <w:shd w:val="clear" w:color="auto" w:fill="FFFFFF"/>
          <w:lang w:eastAsia="zh-CN"/>
        </w:rPr>
        <w:t xml:space="preserve">. Ilgesniems DVA-TB, YVA-TB ir RA-TB gydymo režimams rekomenduojamų vaistų grupavimas: skiriami 3 vaistai iš A grupės bei mažiausiai vienas vaistas iš B grupės; jei skiriami tik </w:t>
      </w:r>
      <w:r>
        <w:rPr>
          <w:rFonts w:eastAsia="Calibri"/>
          <w:szCs w:val="24"/>
          <w:shd w:val="clear" w:color="auto" w:fill="FFFFFF"/>
          <w:lang w:val="en-US" w:eastAsia="zh-CN"/>
        </w:rPr>
        <w:t xml:space="preserve">1 </w:t>
      </w:r>
      <w:r>
        <w:rPr>
          <w:rFonts w:eastAsia="Calibri"/>
          <w:szCs w:val="24"/>
          <w:shd w:val="clear" w:color="auto" w:fill="FFFFFF"/>
          <w:lang w:eastAsia="zh-CN"/>
        </w:rPr>
        <w:t>ar</w:t>
      </w:r>
      <w:r>
        <w:rPr>
          <w:rFonts w:eastAsia="Calibri"/>
          <w:szCs w:val="24"/>
          <w:shd w:val="clear" w:color="auto" w:fill="FFFFFF"/>
          <w:lang w:val="en-US" w:eastAsia="zh-CN"/>
        </w:rPr>
        <w:t xml:space="preserve"> 2 </w:t>
      </w:r>
      <w:r>
        <w:rPr>
          <w:rFonts w:eastAsia="Calibri"/>
          <w:szCs w:val="24"/>
          <w:shd w:val="clear" w:color="auto" w:fill="FFFFFF"/>
          <w:lang w:eastAsia="zh-CN"/>
        </w:rPr>
        <w:t>vaistai iš A grupės, turi būti skiriami 2 B grupės vaistai. Nesant galimybės (dėl TM atsparumo ar vaistų netoleravimo, trūkumo) sudaryti gydymo schemos iš A ir B grupių vaistų, skiriami vaistai iš C grupės. Intensyvaus gydymo fazėje skiriami 4–5 vaistai, gydymo tęsimo fazėje – 3–4 vaistai.</w:t>
      </w:r>
    </w:p>
    <w:p w:rsidR="0050363F" w:rsidRDefault="0050363F">
      <w:pPr>
        <w:jc w:val="both"/>
        <w:rPr>
          <w:rFonts w:eastAsia="Calibri"/>
          <w:szCs w:val="24"/>
          <w:shd w:val="clear" w:color="auto" w:fill="FFFFFF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4403"/>
        <w:gridCol w:w="2166"/>
      </w:tblGrid>
      <w:tr w:rsidR="0050363F">
        <w:trPr>
          <w:trHeight w:val="44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9" w:lineRule="auto"/>
              <w:jc w:val="center"/>
              <w:textAlignment w:val="baseline"/>
              <w:rPr>
                <w:rFonts w:eastAsia="Segoe UI"/>
                <w:b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b/>
                <w:sz w:val="20"/>
                <w:szCs w:val="24"/>
                <w:shd w:val="clear" w:color="auto" w:fill="FFFFFF"/>
                <w:lang w:eastAsia="zh-CN"/>
              </w:rPr>
              <w:t>GRUPĖ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9" w:lineRule="auto"/>
              <w:jc w:val="center"/>
              <w:textAlignment w:val="baseline"/>
              <w:rPr>
                <w:rFonts w:eastAsia="Segoe UI"/>
                <w:b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b/>
                <w:sz w:val="20"/>
                <w:szCs w:val="24"/>
                <w:shd w:val="clear" w:color="auto" w:fill="FFFFFF"/>
                <w:lang w:eastAsia="zh-CN"/>
              </w:rPr>
              <w:t>VAISTAS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9" w:lineRule="auto"/>
              <w:jc w:val="center"/>
              <w:textAlignment w:val="baseline"/>
              <w:rPr>
                <w:rFonts w:eastAsia="Segoe UI"/>
                <w:b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b/>
                <w:sz w:val="20"/>
                <w:szCs w:val="24"/>
                <w:shd w:val="clear" w:color="auto" w:fill="FFFFFF"/>
                <w:lang w:eastAsia="zh-CN"/>
              </w:rPr>
              <w:t>SANTRUMPA</w:t>
            </w:r>
          </w:p>
        </w:tc>
      </w:tr>
      <w:tr w:rsidR="0050363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Grupė A </w:t>
            </w: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50363F">
            <w:pPr>
              <w:spacing w:line="259" w:lineRule="auto"/>
              <w:rPr>
                <w:sz w:val="14"/>
                <w:szCs w:val="14"/>
              </w:rPr>
            </w:pP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Skiriami trys vaistai (nebent jų skirti negalima)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Levofloksacinas</w:t>
            </w:r>
            <w:proofErr w:type="spellEnd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Segoe UI"/>
                <w:iCs/>
                <w:sz w:val="20"/>
                <w:szCs w:val="24"/>
                <w:shd w:val="clear" w:color="auto" w:fill="FFFFFF"/>
                <w:lang w:eastAsia="zh-CN"/>
              </w:rPr>
              <w:t>arba</w:t>
            </w: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moksifloksacinas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vertAlign w:val="superscript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Bedakvilinas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Linezolidas</w:t>
            </w:r>
            <w:proofErr w:type="spellEnd"/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Lfx</w:t>
            </w:r>
            <w:proofErr w:type="spellEnd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 arba </w:t>
            </w: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Mfx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Bdq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ind w:firstLine="62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Lzd</w:t>
            </w:r>
            <w:proofErr w:type="spellEnd"/>
          </w:p>
        </w:tc>
      </w:tr>
      <w:tr w:rsidR="0050363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Grupė B</w:t>
            </w: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Skiriami vienas arba du vaistai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Klofaziminas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Cikloserinas</w:t>
            </w:r>
            <w:proofErr w:type="spellEnd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 arba </w:t>
            </w: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terizidonas</w:t>
            </w:r>
            <w:proofErr w:type="spellEnd"/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Cfz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Cs</w:t>
            </w:r>
            <w:proofErr w:type="spellEnd"/>
            <w:r>
              <w:t xml:space="preserve"> </w:t>
            </w: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arba </w:t>
            </w: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Trd</w:t>
            </w:r>
            <w:proofErr w:type="spellEnd"/>
          </w:p>
        </w:tc>
      </w:tr>
      <w:tr w:rsidR="0050363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Grupė C</w:t>
            </w: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50363F">
            <w:pPr>
              <w:spacing w:line="259" w:lineRule="auto"/>
              <w:rPr>
                <w:sz w:val="14"/>
                <w:szCs w:val="14"/>
              </w:rPr>
            </w:pP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9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Skiriama, nesant galimybės sudaryti gydymo schemos iš A ir B grupių vaistų  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Etambutolis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Delamanidas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Pirazinamidas</w:t>
            </w:r>
            <w:r>
              <w:rPr>
                <w:rFonts w:eastAsia="Segoe UI"/>
                <w:sz w:val="20"/>
                <w:szCs w:val="24"/>
                <w:shd w:val="clear" w:color="auto" w:fill="FFFFFF"/>
                <w:vertAlign w:val="superscript"/>
                <w:lang w:eastAsia="zh-CN"/>
              </w:rPr>
              <w:t>1</w:t>
            </w: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Imipenemas-cilastatinas</w:t>
            </w:r>
            <w:r>
              <w:rPr>
                <w:rFonts w:eastAsia="Segoe UI"/>
                <w:sz w:val="20"/>
                <w:szCs w:val="24"/>
                <w:shd w:val="clear" w:color="auto" w:fill="FFFFFF"/>
                <w:vertAlign w:val="superscript"/>
                <w:lang w:eastAsia="zh-CN"/>
              </w:rPr>
              <w:t>2</w:t>
            </w:r>
            <w:proofErr w:type="spellEnd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 arba meropenemas</w:t>
            </w:r>
            <w:r>
              <w:rPr>
                <w:rFonts w:eastAsia="Segoe UI"/>
                <w:sz w:val="20"/>
                <w:szCs w:val="24"/>
                <w:shd w:val="clear" w:color="auto" w:fill="FFFFFF"/>
                <w:vertAlign w:val="superscript"/>
                <w:lang w:eastAsia="zh-CN"/>
              </w:rPr>
              <w:t>2</w:t>
            </w: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Amikacinas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(Streptomicinas, </w:t>
            </w: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kanamicinas</w:t>
            </w:r>
            <w:proofErr w:type="spellEnd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, kapreomicinas)</w:t>
            </w:r>
            <w:r>
              <w:rPr>
                <w:rFonts w:eastAsia="Segoe UI"/>
                <w:sz w:val="20"/>
                <w:szCs w:val="24"/>
                <w:shd w:val="clear" w:color="auto" w:fill="FFFFFF"/>
                <w:vertAlign w:val="superscript"/>
                <w:lang w:eastAsia="zh-CN"/>
              </w:rPr>
              <w:t>3</w:t>
            </w: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Etionamidas</w:t>
            </w:r>
            <w:proofErr w:type="spellEnd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 arba </w:t>
            </w: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protionamidas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9" w:lineRule="auto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p-</w:t>
            </w: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aminosalicilinė</w:t>
            </w:r>
            <w:proofErr w:type="spellEnd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 rūgštis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E</w:t>
            </w: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Dlm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Z</w:t>
            </w: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Ipm-Cln</w:t>
            </w:r>
            <w:proofErr w:type="spellEnd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 arba </w:t>
            </w: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Mpm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Am</w:t>
            </w: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(S, Km, Cm)</w:t>
            </w:r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6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Eto</w:t>
            </w:r>
            <w:proofErr w:type="spellEnd"/>
            <w:r>
              <w:t xml:space="preserve"> </w:t>
            </w: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 xml:space="preserve">arba </w:t>
            </w:r>
            <w:proofErr w:type="spellStart"/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Pto</w:t>
            </w:r>
            <w:proofErr w:type="spellEnd"/>
          </w:p>
          <w:p w:rsidR="0050363F" w:rsidRDefault="0050363F">
            <w:pPr>
              <w:rPr>
                <w:sz w:val="14"/>
                <w:szCs w:val="14"/>
              </w:rPr>
            </w:pPr>
          </w:p>
          <w:p w:rsidR="0050363F" w:rsidRDefault="00C912B0">
            <w:pPr>
              <w:widowControl w:val="0"/>
              <w:spacing w:line="259" w:lineRule="auto"/>
              <w:jc w:val="both"/>
              <w:textAlignment w:val="baseline"/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</w:pPr>
            <w:r>
              <w:rPr>
                <w:rFonts w:eastAsia="Segoe UI"/>
                <w:sz w:val="20"/>
                <w:szCs w:val="24"/>
                <w:shd w:val="clear" w:color="auto" w:fill="FFFFFF"/>
                <w:lang w:eastAsia="zh-CN"/>
              </w:rPr>
              <w:t>PAS</w:t>
            </w:r>
          </w:p>
        </w:tc>
      </w:tr>
    </w:tbl>
    <w:p w:rsidR="0050363F" w:rsidRDefault="0050363F">
      <w:pPr>
        <w:spacing w:line="259" w:lineRule="auto"/>
        <w:ind w:firstLine="1296"/>
        <w:jc w:val="both"/>
        <w:textAlignment w:val="baseline"/>
        <w:rPr>
          <w:rFonts w:eastAsia="Segoe UI"/>
          <w:szCs w:val="24"/>
          <w:shd w:val="clear" w:color="auto" w:fill="FFFFFF"/>
          <w:vertAlign w:val="superscript"/>
          <w:lang w:eastAsia="zh-CN"/>
        </w:rPr>
      </w:pPr>
    </w:p>
    <w:p w:rsidR="0050363F" w:rsidRDefault="0050363F">
      <w:pPr>
        <w:rPr>
          <w:sz w:val="14"/>
          <w:szCs w:val="14"/>
        </w:rPr>
      </w:pPr>
    </w:p>
    <w:p w:rsidR="0050363F" w:rsidRDefault="00C912B0">
      <w:pPr>
        <w:spacing w:line="259" w:lineRule="auto"/>
        <w:ind w:firstLine="1296"/>
        <w:jc w:val="both"/>
        <w:textAlignment w:val="baseline"/>
        <w:rPr>
          <w:rFonts w:eastAsia="Segoe UI"/>
          <w:szCs w:val="24"/>
          <w:shd w:val="clear" w:color="auto" w:fill="FFFFFF"/>
          <w:lang w:eastAsia="zh-CN"/>
        </w:rPr>
      </w:pPr>
      <w:r>
        <w:rPr>
          <w:rFonts w:eastAsia="Segoe UI"/>
          <w:szCs w:val="24"/>
          <w:shd w:val="clear" w:color="auto" w:fill="FFFFFF"/>
          <w:vertAlign w:val="superscript"/>
          <w:lang w:eastAsia="zh-CN"/>
        </w:rPr>
        <w:t>1</w:t>
      </w:r>
      <w:r>
        <w:rPr>
          <w:rFonts w:eastAsia="Segoe UI"/>
          <w:szCs w:val="24"/>
          <w:shd w:val="clear" w:color="auto" w:fill="FFFFFF"/>
          <w:lang w:eastAsia="zh-CN"/>
        </w:rPr>
        <w:t xml:space="preserve"> </w:t>
      </w:r>
      <w:proofErr w:type="spellStart"/>
      <w:r>
        <w:rPr>
          <w:rFonts w:eastAsia="Segoe UI"/>
          <w:szCs w:val="24"/>
          <w:shd w:val="clear" w:color="auto" w:fill="FFFFFF"/>
          <w:lang w:eastAsia="zh-CN"/>
        </w:rPr>
        <w:t>Pirazinamidas</w:t>
      </w:r>
      <w:proofErr w:type="spellEnd"/>
      <w:r>
        <w:rPr>
          <w:rFonts w:eastAsia="Segoe UI"/>
          <w:szCs w:val="24"/>
          <w:shd w:val="clear" w:color="auto" w:fill="FFFFFF"/>
          <w:lang w:eastAsia="zh-CN"/>
        </w:rPr>
        <w:t xml:space="preserve"> skiriamas tik nustačius TM jautrumą </w:t>
      </w:r>
      <w:proofErr w:type="spellStart"/>
      <w:r>
        <w:rPr>
          <w:rFonts w:eastAsia="Segoe UI"/>
          <w:szCs w:val="24"/>
          <w:shd w:val="clear" w:color="auto" w:fill="FFFFFF"/>
          <w:lang w:eastAsia="zh-CN"/>
        </w:rPr>
        <w:t>pirazinamidui</w:t>
      </w:r>
      <w:proofErr w:type="spellEnd"/>
      <w:r>
        <w:rPr>
          <w:rFonts w:eastAsia="Segoe UI"/>
          <w:szCs w:val="24"/>
          <w:shd w:val="clear" w:color="auto" w:fill="FFFFFF"/>
          <w:lang w:eastAsia="zh-CN"/>
        </w:rPr>
        <w:t>.</w:t>
      </w:r>
    </w:p>
    <w:p w:rsidR="0050363F" w:rsidRDefault="0050363F">
      <w:pPr>
        <w:rPr>
          <w:sz w:val="14"/>
          <w:szCs w:val="14"/>
        </w:rPr>
      </w:pPr>
    </w:p>
    <w:p w:rsidR="0050363F" w:rsidRDefault="00C912B0">
      <w:pPr>
        <w:spacing w:line="259" w:lineRule="auto"/>
        <w:ind w:firstLine="1296"/>
        <w:jc w:val="both"/>
        <w:textAlignment w:val="baseline"/>
        <w:rPr>
          <w:rFonts w:eastAsia="Segoe UI"/>
          <w:szCs w:val="24"/>
          <w:shd w:val="clear" w:color="auto" w:fill="FFFFFF"/>
          <w:lang w:eastAsia="zh-CN"/>
        </w:rPr>
      </w:pPr>
      <w:r>
        <w:rPr>
          <w:rFonts w:eastAsia="Segoe UI"/>
          <w:szCs w:val="24"/>
          <w:shd w:val="clear" w:color="auto" w:fill="FFFFFF"/>
          <w:vertAlign w:val="superscript"/>
          <w:lang w:eastAsia="zh-CN"/>
        </w:rPr>
        <w:t>2</w:t>
      </w:r>
      <w:r>
        <w:rPr>
          <w:rFonts w:eastAsia="Segoe UI"/>
          <w:szCs w:val="24"/>
          <w:shd w:val="clear" w:color="auto" w:fill="FFFFFF"/>
          <w:lang w:eastAsia="zh-CN"/>
        </w:rPr>
        <w:t xml:space="preserve"> </w:t>
      </w:r>
      <w:proofErr w:type="spellStart"/>
      <w:r>
        <w:rPr>
          <w:rFonts w:eastAsia="Segoe UI"/>
          <w:szCs w:val="24"/>
          <w:shd w:val="clear" w:color="auto" w:fill="FFFFFF"/>
          <w:lang w:eastAsia="zh-CN"/>
        </w:rPr>
        <w:t>Amoksicilinas</w:t>
      </w:r>
      <w:proofErr w:type="spellEnd"/>
      <w:r>
        <w:rPr>
          <w:rFonts w:eastAsia="Segoe UI"/>
          <w:szCs w:val="24"/>
          <w:shd w:val="clear" w:color="auto" w:fill="FFFFFF"/>
          <w:lang w:eastAsia="zh-CN"/>
        </w:rPr>
        <w:t xml:space="preserve"> su </w:t>
      </w:r>
      <w:proofErr w:type="spellStart"/>
      <w:r>
        <w:rPr>
          <w:rFonts w:eastAsia="Segoe UI"/>
          <w:szCs w:val="24"/>
          <w:shd w:val="clear" w:color="auto" w:fill="FFFFFF"/>
          <w:lang w:eastAsia="zh-CN"/>
        </w:rPr>
        <w:t>klavulanine</w:t>
      </w:r>
      <w:proofErr w:type="spellEnd"/>
      <w:r>
        <w:rPr>
          <w:rFonts w:eastAsia="Segoe UI"/>
          <w:szCs w:val="24"/>
          <w:shd w:val="clear" w:color="auto" w:fill="FFFFFF"/>
          <w:lang w:eastAsia="zh-CN"/>
        </w:rPr>
        <w:t xml:space="preserve"> rūgštimi skiriami kartu su kiekviena </w:t>
      </w:r>
      <w:proofErr w:type="spellStart"/>
      <w:r>
        <w:rPr>
          <w:rFonts w:eastAsia="Segoe UI"/>
          <w:szCs w:val="24"/>
          <w:shd w:val="clear" w:color="auto" w:fill="FFFFFF"/>
          <w:lang w:eastAsia="zh-CN"/>
        </w:rPr>
        <w:t>Imp-Cln</w:t>
      </w:r>
      <w:proofErr w:type="spellEnd"/>
      <w:r>
        <w:rPr>
          <w:rFonts w:eastAsia="Segoe UI"/>
          <w:szCs w:val="24"/>
          <w:shd w:val="clear" w:color="auto" w:fill="FFFFFF"/>
          <w:lang w:eastAsia="zh-CN"/>
        </w:rPr>
        <w:t xml:space="preserve"> ar </w:t>
      </w:r>
      <w:proofErr w:type="spellStart"/>
      <w:r>
        <w:rPr>
          <w:rFonts w:eastAsia="Segoe UI"/>
          <w:szCs w:val="24"/>
          <w:shd w:val="clear" w:color="auto" w:fill="FFFFFF"/>
          <w:lang w:eastAsia="zh-CN"/>
        </w:rPr>
        <w:t>Mpm</w:t>
      </w:r>
      <w:proofErr w:type="spellEnd"/>
      <w:r>
        <w:rPr>
          <w:rFonts w:eastAsia="Segoe UI"/>
          <w:szCs w:val="24"/>
          <w:shd w:val="clear" w:color="auto" w:fill="FFFFFF"/>
          <w:lang w:eastAsia="zh-CN"/>
        </w:rPr>
        <w:t xml:space="preserve"> doze, tačiau nėra skaičiuojamas kaip atskiras vaistas ir neturėtų būti vartojamas kaip atskiras vaistas.</w:t>
      </w:r>
    </w:p>
    <w:p w:rsidR="0050363F" w:rsidRDefault="0050363F">
      <w:pPr>
        <w:rPr>
          <w:sz w:val="14"/>
          <w:szCs w:val="14"/>
        </w:rPr>
      </w:pPr>
    </w:p>
    <w:p w:rsidR="0050363F" w:rsidRDefault="00C912B0">
      <w:pPr>
        <w:spacing w:line="259" w:lineRule="auto"/>
        <w:ind w:firstLine="1296"/>
        <w:jc w:val="both"/>
        <w:textAlignment w:val="baseline"/>
        <w:rPr>
          <w:rFonts w:eastAsia="Segoe UI"/>
          <w:szCs w:val="24"/>
          <w:shd w:val="clear" w:color="auto" w:fill="FFFFFF"/>
          <w:lang w:eastAsia="zh-CN"/>
        </w:rPr>
      </w:pPr>
      <w:r>
        <w:rPr>
          <w:rFonts w:eastAsia="Segoe UI"/>
          <w:szCs w:val="24"/>
          <w:shd w:val="clear" w:color="auto" w:fill="FFFFFF"/>
          <w:vertAlign w:val="superscript"/>
          <w:lang w:eastAsia="zh-CN"/>
        </w:rPr>
        <w:t>3</w:t>
      </w:r>
      <w:r>
        <w:rPr>
          <w:rFonts w:eastAsia="Segoe UI"/>
          <w:szCs w:val="24"/>
          <w:shd w:val="clear" w:color="auto" w:fill="FFFFFF"/>
          <w:lang w:eastAsia="zh-CN"/>
        </w:rPr>
        <w:t xml:space="preserve"> Dėl Am, S, Km ir Cm skyrimo gali būti svarstoma, jei nustatomas TM jautrumas šiems vaistams bei gali būti užtikrintas aukštos kokybės </w:t>
      </w:r>
      <w:proofErr w:type="spellStart"/>
      <w:r>
        <w:rPr>
          <w:rFonts w:eastAsia="Segoe UI"/>
          <w:szCs w:val="24"/>
          <w:shd w:val="clear" w:color="auto" w:fill="FFFFFF"/>
          <w:lang w:eastAsia="zh-CN"/>
        </w:rPr>
        <w:t>audiologinio</w:t>
      </w:r>
      <w:proofErr w:type="spellEnd"/>
      <w:r>
        <w:rPr>
          <w:rFonts w:eastAsia="Segoe UI"/>
          <w:szCs w:val="24"/>
          <w:shd w:val="clear" w:color="auto" w:fill="FFFFFF"/>
          <w:lang w:eastAsia="zh-CN"/>
        </w:rPr>
        <w:t xml:space="preserve"> tyrimo atlikimas vertinant klausos sutrikimus. S, Km, Cm skiriami  tik nustačius TM atsparumą Am ir esant išlikusiam TM jautrumui šiems vaistams.“</w:t>
      </w:r>
    </w:p>
    <w:p w:rsidR="0050363F" w:rsidRDefault="00223DBE">
      <w:pPr>
        <w:rPr>
          <w:sz w:val="14"/>
          <w:szCs w:val="14"/>
        </w:rPr>
      </w:pPr>
    </w:p>
    <w:p w:rsidR="0050363F" w:rsidRDefault="00223DBE">
      <w:pPr>
        <w:widowControl w:val="0"/>
        <w:ind w:firstLine="1464"/>
        <w:jc w:val="both"/>
        <w:rPr>
          <w:szCs w:val="24"/>
          <w:lang w:eastAsia="lt-LT"/>
        </w:rPr>
      </w:pPr>
      <w:r w:rsidR="00C912B0">
        <w:rPr>
          <w:szCs w:val="24"/>
          <w:lang w:eastAsia="lt-LT"/>
        </w:rPr>
        <w:t>9</w:t>
      </w:r>
      <w:r w:rsidR="00C912B0">
        <w:rPr>
          <w:szCs w:val="24"/>
          <w:lang w:eastAsia="lt-LT"/>
        </w:rPr>
        <w:t>. Papildau 22</w:t>
      </w:r>
      <w:r w:rsidR="00C912B0">
        <w:rPr>
          <w:szCs w:val="24"/>
          <w:vertAlign w:val="superscript"/>
          <w:lang w:eastAsia="lt-LT"/>
        </w:rPr>
        <w:t>1</w:t>
      </w:r>
      <w:r w:rsidR="00C912B0">
        <w:rPr>
          <w:szCs w:val="24"/>
          <w:lang w:eastAsia="lt-LT"/>
        </w:rPr>
        <w:t xml:space="preserve"> punktu:</w:t>
      </w:r>
    </w:p>
    <w:p w:rsidR="0050363F" w:rsidRDefault="00C912B0">
      <w:pPr>
        <w:widowControl w:val="0"/>
        <w:ind w:firstLine="1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vertAlign w:val="superscript"/>
          <w:lang w:eastAsia="lt-LT"/>
        </w:rPr>
        <w:t xml:space="preserve"> </w:t>
      </w:r>
      <w:r>
        <w:rPr>
          <w:szCs w:val="24"/>
          <w:lang w:eastAsia="lt-LT"/>
        </w:rPr>
        <w:t>. Trumpesnis RA-TB ir DVA-TB gydymo režimas gali būti naudojamas:</w:t>
      </w:r>
    </w:p>
    <w:p w:rsidR="0050363F" w:rsidRDefault="00223DBE">
      <w:pPr>
        <w:widowControl w:val="0"/>
        <w:ind w:firstLine="1426"/>
        <w:jc w:val="both"/>
        <w:rPr>
          <w:szCs w:val="24"/>
          <w:lang w:eastAsia="lt-LT"/>
        </w:rPr>
      </w:pPr>
      <w:r w:rsidR="00C912B0">
        <w:rPr>
          <w:szCs w:val="24"/>
          <w:lang w:eastAsia="lt-LT"/>
        </w:rPr>
        <w:t>22</w:t>
      </w:r>
      <w:r w:rsidR="00C912B0">
        <w:rPr>
          <w:szCs w:val="24"/>
          <w:vertAlign w:val="superscript"/>
          <w:lang w:eastAsia="lt-LT"/>
        </w:rPr>
        <w:t>1</w:t>
      </w:r>
      <w:r w:rsidR="00C912B0">
        <w:rPr>
          <w:szCs w:val="24"/>
          <w:lang w:eastAsia="lt-LT"/>
        </w:rPr>
        <w:t>.1</w:t>
      </w:r>
      <w:r w:rsidR="00C912B0">
        <w:rPr>
          <w:szCs w:val="24"/>
          <w:lang w:eastAsia="lt-LT"/>
        </w:rPr>
        <w:t xml:space="preserve">. esant naujam TB atvejui, kai nenustatytas TM atsparumas nei vienam iš pagal režimą naudojamų vaistų (išskyrus didelės dozės </w:t>
      </w:r>
      <w:proofErr w:type="spellStart"/>
      <w:r w:rsidR="00C912B0">
        <w:rPr>
          <w:szCs w:val="24"/>
          <w:lang w:eastAsia="lt-LT"/>
        </w:rPr>
        <w:t>izoniazidą</w:t>
      </w:r>
      <w:proofErr w:type="spellEnd"/>
      <w:r w:rsidR="00C912B0">
        <w:rPr>
          <w:szCs w:val="24"/>
          <w:lang w:eastAsia="lt-LT"/>
        </w:rPr>
        <w:t xml:space="preserve"> (10-15 mg/kg/d.));</w:t>
      </w:r>
    </w:p>
    <w:p w:rsidR="0050363F" w:rsidRDefault="00223DBE">
      <w:pPr>
        <w:widowControl w:val="0"/>
        <w:ind w:firstLine="1426"/>
        <w:jc w:val="both"/>
        <w:rPr>
          <w:szCs w:val="24"/>
          <w:lang w:eastAsia="lt-LT"/>
        </w:rPr>
      </w:pPr>
      <w:r w:rsidR="00C912B0">
        <w:rPr>
          <w:szCs w:val="24"/>
          <w:lang w:eastAsia="lt-LT"/>
        </w:rPr>
        <w:t>22</w:t>
      </w:r>
      <w:r w:rsidR="00C912B0">
        <w:rPr>
          <w:szCs w:val="24"/>
          <w:vertAlign w:val="superscript"/>
          <w:lang w:eastAsia="lt-LT"/>
        </w:rPr>
        <w:t>1</w:t>
      </w:r>
      <w:r w:rsidR="00C912B0">
        <w:rPr>
          <w:szCs w:val="24"/>
          <w:lang w:eastAsia="lt-LT"/>
        </w:rPr>
        <w:t>.2</w:t>
      </w:r>
      <w:r w:rsidR="00C912B0">
        <w:rPr>
          <w:szCs w:val="24"/>
          <w:lang w:eastAsia="lt-LT"/>
        </w:rPr>
        <w:t>. kai pacientas antraeiliais vaistais tuberkuliozei gydyti gydytas ne ilgiau kaip 1 mėn. (arba nustatytas TM jautrumas šiems vaistams);</w:t>
      </w:r>
    </w:p>
    <w:p w:rsidR="0050363F" w:rsidRDefault="00223DBE">
      <w:pPr>
        <w:widowControl w:val="0"/>
        <w:ind w:firstLine="1426"/>
        <w:jc w:val="both"/>
        <w:rPr>
          <w:szCs w:val="24"/>
          <w:lang w:eastAsia="lt-LT"/>
        </w:rPr>
      </w:pPr>
      <w:r w:rsidR="00C912B0">
        <w:rPr>
          <w:szCs w:val="24"/>
          <w:lang w:eastAsia="lt-LT"/>
        </w:rPr>
        <w:t>22</w:t>
      </w:r>
      <w:r w:rsidR="00C912B0">
        <w:rPr>
          <w:szCs w:val="24"/>
          <w:vertAlign w:val="superscript"/>
          <w:lang w:eastAsia="lt-LT"/>
        </w:rPr>
        <w:t>1</w:t>
      </w:r>
      <w:r w:rsidR="00C912B0">
        <w:rPr>
          <w:szCs w:val="24"/>
          <w:lang w:eastAsia="lt-LT"/>
        </w:rPr>
        <w:t>.3</w:t>
      </w:r>
      <w:r w:rsidR="00C912B0">
        <w:rPr>
          <w:szCs w:val="24"/>
          <w:lang w:eastAsia="lt-LT"/>
        </w:rPr>
        <w:t xml:space="preserve">. kai TB neišplitusi, nėra sunkios </w:t>
      </w:r>
      <w:proofErr w:type="spellStart"/>
      <w:r w:rsidR="00C912B0">
        <w:rPr>
          <w:szCs w:val="24"/>
          <w:lang w:eastAsia="lt-LT"/>
        </w:rPr>
        <w:t>ekstrapulmoninės</w:t>
      </w:r>
      <w:proofErr w:type="spellEnd"/>
      <w:r w:rsidR="00C912B0">
        <w:rPr>
          <w:szCs w:val="24"/>
          <w:lang w:eastAsia="lt-LT"/>
        </w:rPr>
        <w:t xml:space="preserve"> TB formos;</w:t>
      </w:r>
    </w:p>
    <w:p w:rsidR="0050363F" w:rsidRDefault="00223DBE">
      <w:pPr>
        <w:widowControl w:val="0"/>
        <w:ind w:firstLine="1426"/>
        <w:jc w:val="both"/>
        <w:rPr>
          <w:szCs w:val="24"/>
          <w:lang w:eastAsia="lt-LT"/>
        </w:rPr>
      </w:pPr>
      <w:r w:rsidR="00C912B0">
        <w:rPr>
          <w:szCs w:val="24"/>
          <w:lang w:eastAsia="lt-LT"/>
        </w:rPr>
        <w:t>22</w:t>
      </w:r>
      <w:r w:rsidR="00C912B0">
        <w:rPr>
          <w:szCs w:val="24"/>
          <w:vertAlign w:val="superscript"/>
          <w:lang w:eastAsia="lt-LT"/>
        </w:rPr>
        <w:t>1</w:t>
      </w:r>
      <w:r w:rsidR="00C912B0">
        <w:rPr>
          <w:szCs w:val="24"/>
          <w:lang w:eastAsia="lt-LT"/>
        </w:rPr>
        <w:t>.4</w:t>
      </w:r>
      <w:r w:rsidR="00C912B0">
        <w:rPr>
          <w:szCs w:val="24"/>
          <w:lang w:eastAsia="lt-LT"/>
        </w:rPr>
        <w:t>. ne nėščioms pacientėms gydyti;</w:t>
      </w:r>
    </w:p>
    <w:p w:rsidR="0050363F" w:rsidRDefault="00223DBE">
      <w:pPr>
        <w:widowControl w:val="0"/>
        <w:ind w:firstLine="1426"/>
        <w:jc w:val="both"/>
        <w:rPr>
          <w:szCs w:val="24"/>
          <w:lang w:eastAsia="lt-LT"/>
        </w:rPr>
      </w:pPr>
      <w:r w:rsidR="00C912B0">
        <w:rPr>
          <w:szCs w:val="24"/>
          <w:lang w:eastAsia="lt-LT"/>
        </w:rPr>
        <w:t>22</w:t>
      </w:r>
      <w:r w:rsidR="00C912B0">
        <w:rPr>
          <w:szCs w:val="24"/>
          <w:vertAlign w:val="superscript"/>
          <w:lang w:eastAsia="lt-LT"/>
        </w:rPr>
        <w:t>1</w:t>
      </w:r>
      <w:r w:rsidR="00C912B0">
        <w:rPr>
          <w:szCs w:val="24"/>
          <w:lang w:eastAsia="lt-LT"/>
        </w:rPr>
        <w:t>.5</w:t>
      </w:r>
      <w:r w:rsidR="00C912B0">
        <w:rPr>
          <w:szCs w:val="24"/>
          <w:lang w:eastAsia="lt-LT"/>
        </w:rPr>
        <w:t>. pacientams nuo 6 metų amžiaus.“</w:t>
      </w:r>
    </w:p>
    <w:p w:rsidR="0050363F" w:rsidRDefault="00223DBE">
      <w:pPr>
        <w:widowControl w:val="0"/>
        <w:ind w:firstLine="1464"/>
        <w:jc w:val="both"/>
        <w:rPr>
          <w:szCs w:val="24"/>
          <w:lang w:eastAsia="lt-LT"/>
        </w:rPr>
      </w:pPr>
      <w:r w:rsidR="00C912B0">
        <w:rPr>
          <w:szCs w:val="24"/>
          <w:lang w:eastAsia="lt-LT"/>
        </w:rPr>
        <w:t>10</w:t>
      </w:r>
      <w:r w:rsidR="00C912B0">
        <w:rPr>
          <w:szCs w:val="24"/>
          <w:lang w:eastAsia="lt-LT"/>
        </w:rPr>
        <w:t>. Papildau 23</w:t>
      </w:r>
      <w:r w:rsidR="00C912B0">
        <w:rPr>
          <w:szCs w:val="24"/>
          <w:vertAlign w:val="superscript"/>
          <w:lang w:eastAsia="lt-LT"/>
        </w:rPr>
        <w:t>1</w:t>
      </w:r>
      <w:r w:rsidR="00C912B0">
        <w:rPr>
          <w:szCs w:val="24"/>
          <w:lang w:eastAsia="lt-LT"/>
        </w:rPr>
        <w:t xml:space="preserve"> punktu:</w:t>
      </w:r>
    </w:p>
    <w:p w:rsidR="0050363F" w:rsidRDefault="00C912B0">
      <w:pPr>
        <w:widowControl w:val="0"/>
        <w:ind w:firstLine="1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Trumpesnio RA-TB ir DVA-TB gydymo schema: </w:t>
      </w:r>
    </w:p>
    <w:p w:rsidR="0050363F" w:rsidRDefault="00223DBE">
      <w:pPr>
        <w:widowControl w:val="0"/>
        <w:ind w:firstLine="1426"/>
        <w:jc w:val="both"/>
        <w:rPr>
          <w:szCs w:val="24"/>
          <w:lang w:eastAsia="lt-LT"/>
        </w:rPr>
      </w:pPr>
      <w:r w:rsidR="00C912B0">
        <w:rPr>
          <w:szCs w:val="24"/>
          <w:lang w:eastAsia="lt-LT"/>
        </w:rPr>
        <w:t>23</w:t>
      </w:r>
      <w:r w:rsidR="00C912B0">
        <w:rPr>
          <w:szCs w:val="24"/>
          <w:vertAlign w:val="superscript"/>
          <w:lang w:eastAsia="lt-LT"/>
        </w:rPr>
        <w:t>1</w:t>
      </w:r>
      <w:r w:rsidR="00C912B0">
        <w:rPr>
          <w:szCs w:val="24"/>
          <w:lang w:eastAsia="lt-LT"/>
        </w:rPr>
        <w:t>.1</w:t>
      </w:r>
      <w:r w:rsidR="00C912B0">
        <w:rPr>
          <w:szCs w:val="24"/>
          <w:lang w:eastAsia="lt-LT"/>
        </w:rPr>
        <w:t xml:space="preserve">. 4 mėnesius (su galimybe pratęsti iki 6 mėnesių, jei po 4-ių mėnesių gydymo paciento skrepliuose lieka RAB) skiriami </w:t>
      </w:r>
      <w:proofErr w:type="spellStart"/>
      <w:r w:rsidR="00C912B0">
        <w:rPr>
          <w:szCs w:val="24"/>
          <w:lang w:eastAsia="lt-LT"/>
        </w:rPr>
        <w:t>bedaklivinas</w:t>
      </w:r>
      <w:proofErr w:type="spellEnd"/>
      <w:r w:rsidR="00C912B0">
        <w:rPr>
          <w:szCs w:val="24"/>
          <w:lang w:eastAsia="lt-LT"/>
        </w:rPr>
        <w:t xml:space="preserve">, </w:t>
      </w:r>
      <w:proofErr w:type="spellStart"/>
      <w:r w:rsidR="00C912B0">
        <w:rPr>
          <w:szCs w:val="24"/>
          <w:lang w:eastAsia="lt-LT"/>
        </w:rPr>
        <w:t>levofloksacinas</w:t>
      </w:r>
      <w:proofErr w:type="spellEnd"/>
      <w:r w:rsidR="00C912B0">
        <w:rPr>
          <w:szCs w:val="24"/>
          <w:lang w:eastAsia="lt-LT"/>
        </w:rPr>
        <w:t xml:space="preserve"> arba </w:t>
      </w:r>
      <w:proofErr w:type="spellStart"/>
      <w:r w:rsidR="00C912B0">
        <w:rPr>
          <w:szCs w:val="24"/>
          <w:lang w:eastAsia="lt-LT"/>
        </w:rPr>
        <w:t>moksifloksacinas</w:t>
      </w:r>
      <w:proofErr w:type="spellEnd"/>
      <w:r w:rsidR="00C912B0">
        <w:rPr>
          <w:szCs w:val="24"/>
          <w:lang w:eastAsia="lt-LT"/>
        </w:rPr>
        <w:t xml:space="preserve">, </w:t>
      </w:r>
      <w:proofErr w:type="spellStart"/>
      <w:r w:rsidR="00C912B0">
        <w:rPr>
          <w:szCs w:val="24"/>
          <w:lang w:eastAsia="lt-LT"/>
        </w:rPr>
        <w:t>protionamidas</w:t>
      </w:r>
      <w:proofErr w:type="spellEnd"/>
      <w:r w:rsidR="00C912B0">
        <w:rPr>
          <w:szCs w:val="24"/>
          <w:lang w:eastAsia="lt-LT"/>
        </w:rPr>
        <w:t xml:space="preserve">, </w:t>
      </w:r>
      <w:proofErr w:type="spellStart"/>
      <w:r w:rsidR="00C912B0">
        <w:rPr>
          <w:szCs w:val="24"/>
          <w:lang w:eastAsia="lt-LT"/>
        </w:rPr>
        <w:t>etambutolis</w:t>
      </w:r>
      <w:proofErr w:type="spellEnd"/>
      <w:r w:rsidR="00C912B0">
        <w:rPr>
          <w:szCs w:val="24"/>
          <w:lang w:eastAsia="lt-LT"/>
        </w:rPr>
        <w:t xml:space="preserve">, didelėmis dozėmis </w:t>
      </w:r>
      <w:proofErr w:type="spellStart"/>
      <w:r w:rsidR="00C912B0">
        <w:rPr>
          <w:szCs w:val="24"/>
          <w:lang w:eastAsia="lt-LT"/>
        </w:rPr>
        <w:t>izoniazidas</w:t>
      </w:r>
      <w:proofErr w:type="spellEnd"/>
      <w:r w:rsidR="00C912B0">
        <w:rPr>
          <w:szCs w:val="24"/>
          <w:lang w:eastAsia="lt-LT"/>
        </w:rPr>
        <w:t xml:space="preserve">, </w:t>
      </w:r>
      <w:proofErr w:type="spellStart"/>
      <w:r w:rsidR="00C912B0">
        <w:rPr>
          <w:szCs w:val="24"/>
          <w:lang w:eastAsia="lt-LT"/>
        </w:rPr>
        <w:t>pirazinamidas</w:t>
      </w:r>
      <w:proofErr w:type="spellEnd"/>
      <w:r w:rsidR="00C912B0">
        <w:rPr>
          <w:szCs w:val="24"/>
          <w:lang w:eastAsia="lt-LT"/>
        </w:rPr>
        <w:t xml:space="preserve"> ir </w:t>
      </w:r>
      <w:proofErr w:type="spellStart"/>
      <w:r w:rsidR="00C912B0">
        <w:rPr>
          <w:szCs w:val="24"/>
          <w:lang w:eastAsia="lt-LT"/>
        </w:rPr>
        <w:t>klofaziminas</w:t>
      </w:r>
      <w:proofErr w:type="spellEnd"/>
      <w:r w:rsidR="00C912B0">
        <w:rPr>
          <w:szCs w:val="24"/>
          <w:lang w:eastAsia="lt-LT"/>
        </w:rPr>
        <w:t>;</w:t>
      </w:r>
    </w:p>
    <w:p w:rsidR="0050363F" w:rsidRDefault="00223DBE">
      <w:pPr>
        <w:widowControl w:val="0"/>
        <w:ind w:firstLine="1364"/>
        <w:jc w:val="both"/>
        <w:rPr>
          <w:szCs w:val="24"/>
          <w:lang w:eastAsia="lt-LT"/>
        </w:rPr>
      </w:pPr>
      <w:r w:rsidR="00C912B0">
        <w:rPr>
          <w:szCs w:val="24"/>
          <w:lang w:eastAsia="lt-LT"/>
        </w:rPr>
        <w:t>23</w:t>
      </w:r>
      <w:r w:rsidR="00C912B0">
        <w:rPr>
          <w:szCs w:val="24"/>
          <w:vertAlign w:val="superscript"/>
          <w:lang w:eastAsia="lt-LT"/>
        </w:rPr>
        <w:t>1</w:t>
      </w:r>
      <w:r w:rsidR="00C912B0">
        <w:rPr>
          <w:szCs w:val="24"/>
          <w:lang w:eastAsia="lt-LT"/>
        </w:rPr>
        <w:t>.2</w:t>
      </w:r>
      <w:r w:rsidR="00C912B0">
        <w:rPr>
          <w:szCs w:val="24"/>
          <w:lang w:eastAsia="lt-LT"/>
        </w:rPr>
        <w:t xml:space="preserve">. gydymas </w:t>
      </w:r>
      <w:proofErr w:type="spellStart"/>
      <w:r w:rsidR="00C912B0">
        <w:rPr>
          <w:szCs w:val="24"/>
          <w:lang w:eastAsia="lt-LT"/>
        </w:rPr>
        <w:t>bedakvilinu</w:t>
      </w:r>
      <w:proofErr w:type="spellEnd"/>
      <w:r w:rsidR="00C912B0">
        <w:rPr>
          <w:szCs w:val="24"/>
          <w:lang w:eastAsia="lt-LT"/>
        </w:rPr>
        <w:t xml:space="preserve"> tęsiamas iki 24 sav.;</w:t>
      </w:r>
    </w:p>
    <w:p w:rsidR="0050363F" w:rsidRPr="00C912B0" w:rsidRDefault="00223DBE" w:rsidP="00C912B0">
      <w:pPr>
        <w:widowControl w:val="0"/>
        <w:ind w:firstLine="1364"/>
        <w:jc w:val="both"/>
        <w:rPr>
          <w:szCs w:val="24"/>
          <w:lang w:eastAsia="lt-LT"/>
        </w:rPr>
      </w:pPr>
      <w:r w:rsidR="00C912B0">
        <w:rPr>
          <w:szCs w:val="24"/>
          <w:lang w:eastAsia="lt-LT"/>
        </w:rPr>
        <w:t>23</w:t>
      </w:r>
      <w:r w:rsidR="00C912B0">
        <w:rPr>
          <w:szCs w:val="24"/>
          <w:vertAlign w:val="superscript"/>
          <w:lang w:eastAsia="lt-LT"/>
        </w:rPr>
        <w:t>1</w:t>
      </w:r>
      <w:r w:rsidR="00C912B0">
        <w:rPr>
          <w:szCs w:val="24"/>
          <w:lang w:eastAsia="lt-LT"/>
        </w:rPr>
        <w:t>.3</w:t>
      </w:r>
      <w:r w:rsidR="00C912B0">
        <w:rPr>
          <w:szCs w:val="24"/>
          <w:lang w:eastAsia="lt-LT"/>
        </w:rPr>
        <w:t xml:space="preserve">. po pradinio 4–6 mėn. gydymo gydymas tęsiamas dar 5 mėnesius skiriant </w:t>
      </w:r>
      <w:proofErr w:type="spellStart"/>
      <w:r w:rsidR="00C912B0">
        <w:rPr>
          <w:szCs w:val="24"/>
          <w:lang w:eastAsia="lt-LT"/>
        </w:rPr>
        <w:t>levofloksaciną</w:t>
      </w:r>
      <w:proofErr w:type="spellEnd"/>
      <w:r w:rsidR="00C912B0">
        <w:rPr>
          <w:szCs w:val="24"/>
          <w:lang w:eastAsia="lt-LT"/>
        </w:rPr>
        <w:t xml:space="preserve"> arba </w:t>
      </w:r>
      <w:proofErr w:type="spellStart"/>
      <w:r w:rsidR="00C912B0">
        <w:rPr>
          <w:szCs w:val="24"/>
          <w:lang w:eastAsia="lt-LT"/>
        </w:rPr>
        <w:t>moksifloksaciną</w:t>
      </w:r>
      <w:proofErr w:type="spellEnd"/>
      <w:r w:rsidR="00C912B0">
        <w:rPr>
          <w:szCs w:val="24"/>
          <w:lang w:eastAsia="lt-LT"/>
        </w:rPr>
        <w:t xml:space="preserve">, </w:t>
      </w:r>
      <w:proofErr w:type="spellStart"/>
      <w:r w:rsidR="00C912B0">
        <w:rPr>
          <w:szCs w:val="24"/>
          <w:lang w:eastAsia="lt-LT"/>
        </w:rPr>
        <w:t>etambutolį</w:t>
      </w:r>
      <w:proofErr w:type="spellEnd"/>
      <w:r w:rsidR="00C912B0">
        <w:rPr>
          <w:szCs w:val="24"/>
          <w:lang w:eastAsia="lt-LT"/>
        </w:rPr>
        <w:t xml:space="preserve">, </w:t>
      </w:r>
      <w:proofErr w:type="spellStart"/>
      <w:r w:rsidR="00C912B0">
        <w:rPr>
          <w:szCs w:val="24"/>
          <w:lang w:eastAsia="lt-LT"/>
        </w:rPr>
        <w:t>pirazinamidą</w:t>
      </w:r>
      <w:proofErr w:type="spellEnd"/>
      <w:r w:rsidR="00C912B0">
        <w:rPr>
          <w:szCs w:val="24"/>
          <w:lang w:eastAsia="lt-LT"/>
        </w:rPr>
        <w:t xml:space="preserve"> ir </w:t>
      </w:r>
      <w:proofErr w:type="spellStart"/>
      <w:r w:rsidR="00C912B0">
        <w:rPr>
          <w:szCs w:val="24"/>
          <w:lang w:eastAsia="lt-LT"/>
        </w:rPr>
        <w:t>klofaziminą</w:t>
      </w:r>
      <w:proofErr w:type="spellEnd"/>
      <w:r w:rsidR="00C912B0">
        <w:rPr>
          <w:szCs w:val="24"/>
          <w:lang w:eastAsia="lt-LT"/>
        </w:rPr>
        <w:t>.“</w:t>
      </w:r>
    </w:p>
    <w:p w:rsidR="00C912B0" w:rsidRDefault="00C912B0">
      <w:pPr>
        <w:jc w:val="both"/>
      </w:pPr>
    </w:p>
    <w:p w:rsidR="00C912B0" w:rsidRDefault="00C912B0">
      <w:pPr>
        <w:jc w:val="both"/>
      </w:pPr>
    </w:p>
    <w:p w:rsidR="00C912B0" w:rsidRDefault="00C912B0">
      <w:pPr>
        <w:jc w:val="both"/>
      </w:pPr>
    </w:p>
    <w:p w:rsidR="0050363F" w:rsidRDefault="00C912B0">
      <w:pPr>
        <w:jc w:val="both"/>
        <w:rPr>
          <w:color w:val="000000"/>
          <w:szCs w:val="24"/>
        </w:rPr>
      </w:pPr>
      <w:r>
        <w:rPr>
          <w:szCs w:val="24"/>
        </w:rPr>
        <w:t xml:space="preserve">Sveikatos apsaugos ministras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Aurelijus </w:t>
      </w:r>
      <w:proofErr w:type="spellStart"/>
      <w:r>
        <w:rPr>
          <w:szCs w:val="24"/>
        </w:rPr>
        <w:t>Veryga</w:t>
      </w:r>
      <w:proofErr w:type="spellEnd"/>
    </w:p>
    <w:sectPr w:rsidR="00503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3F" w:rsidRDefault="00C912B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50363F" w:rsidRDefault="00C912B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F" w:rsidRDefault="0050363F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F" w:rsidRDefault="0050363F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F" w:rsidRDefault="0050363F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3F" w:rsidRDefault="00C912B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0363F" w:rsidRDefault="00C912B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F" w:rsidRDefault="00C912B0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50363F" w:rsidRDefault="0050363F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F" w:rsidRDefault="00C912B0" w:rsidP="00C912B0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 w:rsidR="00223DBE">
      <w:rPr>
        <w:noProof/>
        <w:szCs w:val="24"/>
      </w:rPr>
      <w:t>2</w:t>
    </w:r>
    <w:r>
      <w:rPr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F" w:rsidRDefault="0050363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223DBE"/>
    <w:rsid w:val="00317C03"/>
    <w:rsid w:val="0050363F"/>
    <w:rsid w:val="00C912B0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6000</Characters>
  <Application>Microsoft Office Word</Application>
  <DocSecurity>0</DocSecurity>
  <Lines>50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6862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2020-11-10T14:05:00Z</dcterms:created>
  <dc:creator>loginovic</dc:creator>
  <lastModifiedBy>PAPINIGIENĖ Augustė</lastModifiedBy>
  <lastPrinted>2020-10-30T10:59:00Z</lastPrinted>
  <dcterms:modified xsi:type="dcterms:W3CDTF">2020-11-10T14:21:00Z</dcterms:modified>
  <revision>5</revision>
  <dc:title>2001-05-00</dc:title>
</coreProperties>
</file>