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9C0BD" w14:textId="77777777" w:rsidR="004255DF" w:rsidRDefault="004255DF">
      <w:pPr>
        <w:tabs>
          <w:tab w:val="center" w:pos="4819"/>
          <w:tab w:val="right" w:pos="9638"/>
        </w:tabs>
        <w:rPr>
          <w:rFonts w:ascii="Calibri" w:eastAsia="Calibri" w:hAnsi="Calibri"/>
          <w:sz w:val="20"/>
          <w:lang w:eastAsia="lt-LT"/>
        </w:rPr>
      </w:pPr>
    </w:p>
    <w:p w14:paraId="4659C0BE" w14:textId="77777777" w:rsidR="004255DF" w:rsidRDefault="008E23DF">
      <w:pPr>
        <w:tabs>
          <w:tab w:val="center" w:pos="4819"/>
          <w:tab w:val="right" w:pos="9638"/>
        </w:tabs>
        <w:jc w:val="center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object w:dxaOrig="811" w:dyaOrig="961" w14:anchorId="4659C1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5pt;height:37.5pt" o:ole="" fillcolor="window">
            <v:imagedata r:id="rId8" o:title=""/>
          </v:shape>
          <o:OLEObject Type="Embed" ProgID="Word.Picture.8" ShapeID="_x0000_i1025" DrawAspect="Content" ObjectID="_1650818698" r:id="rId9"/>
        </w:object>
      </w:r>
    </w:p>
    <w:p w14:paraId="4659C0BF" w14:textId="77777777" w:rsidR="004255DF" w:rsidRDefault="004255DF">
      <w:pPr>
        <w:tabs>
          <w:tab w:val="center" w:pos="4819"/>
          <w:tab w:val="right" w:pos="9638"/>
        </w:tabs>
        <w:jc w:val="center"/>
        <w:rPr>
          <w:rFonts w:eastAsia="Calibri"/>
          <w:b/>
          <w:szCs w:val="24"/>
          <w:lang w:eastAsia="lt-LT"/>
        </w:rPr>
      </w:pPr>
    </w:p>
    <w:p w14:paraId="4659C0C0" w14:textId="77777777" w:rsidR="004255DF" w:rsidRDefault="008E23DF">
      <w:pPr>
        <w:tabs>
          <w:tab w:val="center" w:pos="4819"/>
          <w:tab w:val="right" w:pos="9638"/>
        </w:tabs>
        <w:jc w:val="center"/>
        <w:rPr>
          <w:rFonts w:eastAsia="Calibri"/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LIETUVOS RESPUBLIKOS SVEIKATOS APSAUGOS MINISTRAS</w:t>
      </w:r>
    </w:p>
    <w:p w14:paraId="4659C0C1" w14:textId="77777777" w:rsidR="004255DF" w:rsidRDefault="004255DF">
      <w:pPr>
        <w:tabs>
          <w:tab w:val="center" w:pos="4819"/>
          <w:tab w:val="right" w:pos="9638"/>
        </w:tabs>
        <w:jc w:val="center"/>
        <w:rPr>
          <w:rFonts w:eastAsia="Calibri"/>
          <w:szCs w:val="24"/>
          <w:lang w:eastAsia="lt-LT"/>
        </w:rPr>
      </w:pPr>
    </w:p>
    <w:p w14:paraId="4659C0C2" w14:textId="77777777" w:rsidR="004255DF" w:rsidRDefault="008E23DF">
      <w:pPr>
        <w:tabs>
          <w:tab w:val="center" w:pos="4819"/>
          <w:tab w:val="right" w:pos="9638"/>
        </w:tabs>
        <w:jc w:val="center"/>
        <w:rPr>
          <w:rFonts w:eastAsia="Calibri"/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 xml:space="preserve">ĮSAKYMAS </w:t>
      </w:r>
    </w:p>
    <w:p w14:paraId="4659C0C3" w14:textId="77777777" w:rsidR="004255DF" w:rsidRDefault="008E23DF">
      <w:pPr>
        <w:jc w:val="center"/>
        <w:rPr>
          <w:rFonts w:eastAsia="Calibri"/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 xml:space="preserve">DĖL LIETUVOS RESPUBLIKOS SVEIKATOS APSAUGOS MINISTRO </w:t>
      </w:r>
      <w:smartTag w:uri="urn:schemas-microsoft-com:office:smarttags" w:element="metricconverter">
        <w:smartTagPr>
          <w:attr w:name="ProductID" w:val="2000 M"/>
        </w:smartTagPr>
        <w:r>
          <w:rPr>
            <w:rFonts w:eastAsia="Calibri"/>
            <w:b/>
            <w:szCs w:val="24"/>
            <w:lang w:eastAsia="lt-LT"/>
          </w:rPr>
          <w:t>2000 M</w:t>
        </w:r>
      </w:smartTag>
      <w:r>
        <w:rPr>
          <w:rFonts w:eastAsia="Calibri"/>
          <w:b/>
          <w:szCs w:val="24"/>
          <w:lang w:eastAsia="lt-LT"/>
        </w:rPr>
        <w:t xml:space="preserve">. </w:t>
      </w:r>
    </w:p>
    <w:p w14:paraId="4659C0C4" w14:textId="77777777" w:rsidR="004255DF" w:rsidRDefault="008E23DF">
      <w:pPr>
        <w:jc w:val="center"/>
        <w:rPr>
          <w:rFonts w:eastAsia="Calibri"/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 xml:space="preserve">SAUSIO 28 D. ĮSAKYMO NR. 49 „DĖL KOMPENSUOJAMŲJŲ VAISTŲ SĄRAŠŲ PATVIRTINIMO“ PAKEITIMO </w:t>
      </w:r>
    </w:p>
    <w:p w14:paraId="4659C0C5" w14:textId="77777777" w:rsidR="004255DF" w:rsidRDefault="004255DF">
      <w:pPr>
        <w:tabs>
          <w:tab w:val="left" w:pos="5660"/>
        </w:tabs>
        <w:ind w:firstLine="5660"/>
        <w:rPr>
          <w:rFonts w:eastAsia="Calibri"/>
          <w:szCs w:val="24"/>
          <w:lang w:eastAsia="lt-LT"/>
        </w:rPr>
      </w:pPr>
    </w:p>
    <w:p w14:paraId="4659C0C6" w14:textId="77777777" w:rsidR="004255DF" w:rsidRDefault="008E23DF">
      <w:pPr>
        <w:jc w:val="center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2020 m. </w:t>
      </w:r>
      <w:r>
        <w:rPr>
          <w:rFonts w:eastAsia="Calibri"/>
          <w:szCs w:val="24"/>
          <w:lang w:eastAsia="lt-LT"/>
        </w:rPr>
        <w:t>gegužės 12 d. Nr. V-1130</w:t>
      </w:r>
    </w:p>
    <w:p w14:paraId="4659C0C7" w14:textId="77777777" w:rsidR="004255DF" w:rsidRDefault="008E23DF">
      <w:pPr>
        <w:jc w:val="center"/>
        <w:rPr>
          <w:rFonts w:eastAsia="Calibri"/>
          <w:sz w:val="20"/>
          <w:lang w:eastAsia="lt-LT"/>
        </w:rPr>
      </w:pPr>
      <w:r>
        <w:rPr>
          <w:rFonts w:eastAsia="Calibri"/>
          <w:szCs w:val="24"/>
          <w:lang w:eastAsia="lt-LT"/>
        </w:rPr>
        <w:t>Vilnius</w:t>
      </w:r>
    </w:p>
    <w:p w14:paraId="4659C0C8" w14:textId="77777777" w:rsidR="004255DF" w:rsidRDefault="004255DF">
      <w:pPr>
        <w:ind w:firstLine="709"/>
        <w:jc w:val="both"/>
        <w:rPr>
          <w:rFonts w:eastAsia="Calibri"/>
          <w:szCs w:val="24"/>
          <w:lang w:eastAsia="lt-LT"/>
        </w:rPr>
      </w:pPr>
    </w:p>
    <w:p w14:paraId="4659C0C9" w14:textId="77777777" w:rsidR="004255DF" w:rsidRDefault="008E23DF">
      <w:pPr>
        <w:ind w:firstLine="709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Vadovaudamasis Vaistinių preparatų ir medicinos pagalbos priemonių įrašymo į kompensavimo sąrašus ir jų keitimo tvarkos aprašo, patvirtinto Lietuvos Respublikos sveikatos apsaugos ministro 2002 m. balandžio 5 d. įsakymu Nr</w:t>
      </w:r>
      <w:r>
        <w:rPr>
          <w:rFonts w:eastAsia="Calibri"/>
          <w:szCs w:val="24"/>
          <w:lang w:eastAsia="lt-LT"/>
        </w:rPr>
        <w:t xml:space="preserve">. 159 „Dėl Vaistinių preparatų ir medicinos pagalbos priemonių įrašymo į kompensavimo sąrašus ir jų keitimo tvarkos aprašo patvirtinimo“, 67 </w:t>
      </w:r>
      <w:r>
        <w:rPr>
          <w:rFonts w:eastAsia="Calibri"/>
          <w:spacing w:val="4"/>
          <w:szCs w:val="24"/>
          <w:lang w:eastAsia="lt-LT"/>
        </w:rPr>
        <w:t>punktu:</w:t>
      </w:r>
    </w:p>
    <w:p w14:paraId="4659C0CA" w14:textId="77777777" w:rsidR="004255DF" w:rsidRDefault="008E23DF">
      <w:pPr>
        <w:ind w:firstLine="709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p a k e i č i u Ligų ir kompensuojamųjų vaistų joms gydyti sąrašą (A sąrašą), patvirtintą Lietuvos Respub</w:t>
      </w:r>
      <w:r>
        <w:rPr>
          <w:rFonts w:eastAsia="Calibri"/>
          <w:szCs w:val="24"/>
          <w:lang w:eastAsia="lt-LT"/>
        </w:rPr>
        <w:t>likos sveikatos apsaugos ministro 2000 m. sausio 28 d. įsakymu Nr. 49 „Dėl kompensuojamųjų vaistų sąrašų patvirtinimo“:</w:t>
      </w:r>
    </w:p>
    <w:p w14:paraId="4659C0CB" w14:textId="77777777" w:rsidR="004255DF" w:rsidRDefault="008E23DF">
      <w:pPr>
        <w:ind w:firstLine="709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1</w:t>
      </w:r>
      <w:r>
        <w:rPr>
          <w:rFonts w:eastAsia="Calibri"/>
          <w:szCs w:val="24"/>
          <w:lang w:eastAsia="lt-LT"/>
        </w:rPr>
        <w:t>.</w:t>
      </w:r>
      <w:r>
        <w:rPr>
          <w:rFonts w:eastAsia="Calibri"/>
          <w:szCs w:val="24"/>
          <w:lang w:eastAsia="lt-LT"/>
        </w:rPr>
        <w:tab/>
        <w:t>Pakeičiu II skyriaus „NAVIKAI“ 1 skirsnio 1.94 papunktį ir jį išdėstau taip: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5"/>
        <w:gridCol w:w="636"/>
        <w:gridCol w:w="1754"/>
        <w:gridCol w:w="1276"/>
        <w:gridCol w:w="5269"/>
      </w:tblGrid>
      <w:tr w:rsidR="004255DF" w14:paraId="4659C0D1" w14:textId="77777777">
        <w:trPr>
          <w:trHeight w:val="257"/>
        </w:trPr>
        <w:tc>
          <w:tcPr>
            <w:tcW w:w="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C0CC" w14:textId="77777777" w:rsidR="004255DF" w:rsidRDefault="008E23DF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1.</w:t>
            </w:r>
          </w:p>
        </w:tc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C0CD" w14:textId="77777777" w:rsidR="004255DF" w:rsidRDefault="008E23DF">
            <w:pPr>
              <w:spacing w:line="276" w:lineRule="auto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94.</w:t>
            </w:r>
          </w:p>
        </w:tc>
        <w:tc>
          <w:tcPr>
            <w:tcW w:w="17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C0CE" w14:textId="77777777" w:rsidR="004255DF" w:rsidRDefault="008E23DF">
            <w:pPr>
              <w:rPr>
                <w:rFonts w:eastAsia="Calibri"/>
                <w:i/>
                <w:szCs w:val="24"/>
              </w:rPr>
            </w:pPr>
            <w:proofErr w:type="spellStart"/>
            <w:r>
              <w:rPr>
                <w:rFonts w:eastAsia="Calibri"/>
                <w:i/>
                <w:szCs w:val="24"/>
              </w:rPr>
              <w:t>Olaparibum</w:t>
            </w:r>
            <w:proofErr w:type="spellEnd"/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C0CF" w14:textId="77777777" w:rsidR="004255DF" w:rsidRDefault="008E23DF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C56, C57</w:t>
            </w:r>
          </w:p>
        </w:tc>
        <w:tc>
          <w:tcPr>
            <w:tcW w:w="5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C0D0" w14:textId="77777777" w:rsidR="004255DF" w:rsidRDefault="008E23DF">
            <w:pPr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2"/>
              </w:rPr>
              <w:t xml:space="preserve">Skiriamas suaugusių </w:t>
            </w:r>
            <w:r>
              <w:rPr>
                <w:rFonts w:eastAsia="Calibri"/>
                <w:color w:val="000000"/>
                <w:szCs w:val="22"/>
              </w:rPr>
              <w:t xml:space="preserve">pacienčių, sergančių platinai jautriu </w:t>
            </w:r>
            <w:proofErr w:type="spellStart"/>
            <w:r>
              <w:rPr>
                <w:rFonts w:eastAsia="Calibri"/>
                <w:color w:val="000000"/>
                <w:szCs w:val="22"/>
              </w:rPr>
              <w:t>recidyvavusiu</w:t>
            </w:r>
            <w:proofErr w:type="spellEnd"/>
            <w:r>
              <w:rPr>
                <w:rFonts w:eastAsia="Calibri"/>
                <w:color w:val="000000"/>
                <w:szCs w:val="22"/>
              </w:rPr>
              <w:t xml:space="preserve"> BRCA </w:t>
            </w:r>
            <w:proofErr w:type="spellStart"/>
            <w:r>
              <w:rPr>
                <w:rFonts w:eastAsia="Calibri"/>
                <w:color w:val="000000"/>
                <w:szCs w:val="22"/>
              </w:rPr>
              <w:t>mutavusiu</w:t>
            </w:r>
            <w:proofErr w:type="spellEnd"/>
            <w:r>
              <w:rPr>
                <w:rFonts w:eastAsia="Calibri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Cs w:val="22"/>
              </w:rPr>
              <w:t>germinacinių</w:t>
            </w:r>
            <w:proofErr w:type="spellEnd"/>
            <w:r>
              <w:rPr>
                <w:rFonts w:eastAsia="Calibri"/>
                <w:color w:val="000000"/>
                <w:szCs w:val="22"/>
              </w:rPr>
              <w:t xml:space="preserve"> ir (ar) somatinių ląstelių) didelio </w:t>
            </w:r>
            <w:proofErr w:type="spellStart"/>
            <w:r>
              <w:rPr>
                <w:rFonts w:eastAsia="Calibri"/>
                <w:color w:val="000000"/>
                <w:szCs w:val="22"/>
              </w:rPr>
              <w:t>piktybiškumo</w:t>
            </w:r>
            <w:proofErr w:type="spellEnd"/>
            <w:r>
              <w:rPr>
                <w:rFonts w:eastAsia="Calibri"/>
                <w:color w:val="000000"/>
                <w:szCs w:val="22"/>
              </w:rPr>
              <w:t xml:space="preserve"> laipsnio </w:t>
            </w:r>
            <w:proofErr w:type="spellStart"/>
            <w:r>
              <w:rPr>
                <w:rFonts w:eastAsia="Calibri"/>
                <w:color w:val="000000"/>
                <w:szCs w:val="22"/>
              </w:rPr>
              <w:t>seroziniu</w:t>
            </w:r>
            <w:proofErr w:type="spellEnd"/>
            <w:r>
              <w:rPr>
                <w:rFonts w:eastAsia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Cs w:val="22"/>
              </w:rPr>
              <w:t>epiteliniu</w:t>
            </w:r>
            <w:proofErr w:type="spellEnd"/>
            <w:r>
              <w:rPr>
                <w:rFonts w:eastAsia="Calibri"/>
                <w:color w:val="000000"/>
                <w:szCs w:val="22"/>
              </w:rPr>
              <w:t xml:space="preserve"> kiaušidžių, kiaušintakių arba pirminiu pilvaplėvės vėžiu, kurioms po chemoterapijos, kurios pagr</w:t>
            </w:r>
            <w:r>
              <w:rPr>
                <w:rFonts w:eastAsia="Calibri"/>
                <w:color w:val="000000"/>
                <w:szCs w:val="22"/>
              </w:rPr>
              <w:t xml:space="preserve">indinis komponentas platina, yra pasireiškusi visiška arba dalinė reakcija į gydymą, palaikomajai </w:t>
            </w:r>
            <w:proofErr w:type="spellStart"/>
            <w:r>
              <w:rPr>
                <w:rFonts w:eastAsia="Calibri"/>
                <w:color w:val="000000"/>
                <w:szCs w:val="22"/>
              </w:rPr>
              <w:t>monoterapijai</w:t>
            </w:r>
            <w:proofErr w:type="spellEnd"/>
            <w:r>
              <w:rPr>
                <w:rFonts w:eastAsia="Calibri"/>
                <w:color w:val="000000"/>
                <w:szCs w:val="22"/>
              </w:rPr>
              <w:t>.“</w:t>
            </w:r>
          </w:p>
        </w:tc>
      </w:tr>
    </w:tbl>
    <w:p w14:paraId="4659C0D2" w14:textId="77777777" w:rsidR="004255DF" w:rsidRDefault="008E23DF"/>
    <w:p w14:paraId="4659C0D3" w14:textId="77777777" w:rsidR="004255DF" w:rsidRDefault="008E23DF">
      <w:pPr>
        <w:ind w:firstLine="744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</w:rPr>
        <w:t>2</w:t>
      </w:r>
      <w:r>
        <w:rPr>
          <w:rFonts w:eastAsia="Calibri"/>
          <w:szCs w:val="24"/>
        </w:rPr>
        <w:t>.</w:t>
      </w:r>
      <w:r>
        <w:rPr>
          <w:rFonts w:eastAsia="Calibri"/>
          <w:szCs w:val="24"/>
          <w:lang w:eastAsia="lt-LT"/>
        </w:rPr>
        <w:t xml:space="preserve"> Pakeičiu II skyriaus „NAVIKAI“ 1 skirsnio 1.97 papunktį ir jį išdėstau taip: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6"/>
        <w:gridCol w:w="636"/>
        <w:gridCol w:w="1753"/>
        <w:gridCol w:w="1276"/>
        <w:gridCol w:w="5269"/>
      </w:tblGrid>
      <w:tr w:rsidR="004255DF" w14:paraId="4659C0D9" w14:textId="77777777">
        <w:trPr>
          <w:trHeight w:val="257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C0D4" w14:textId="77777777" w:rsidR="004255DF" w:rsidRDefault="008E23DF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„1.</w:t>
            </w:r>
          </w:p>
        </w:tc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C0D5" w14:textId="77777777" w:rsidR="004255DF" w:rsidRDefault="008E23DF">
            <w:pPr>
              <w:spacing w:line="276" w:lineRule="auto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</w:rPr>
              <w:t>97.</w:t>
            </w:r>
          </w:p>
        </w:tc>
        <w:tc>
          <w:tcPr>
            <w:tcW w:w="17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C0D6" w14:textId="77777777" w:rsidR="004255DF" w:rsidRDefault="008E23DF">
            <w:pPr>
              <w:rPr>
                <w:rFonts w:eastAsia="Calibri"/>
                <w:i/>
                <w:szCs w:val="24"/>
              </w:rPr>
            </w:pPr>
            <w:proofErr w:type="spellStart"/>
            <w:r>
              <w:rPr>
                <w:rFonts w:eastAsia="Calibri"/>
                <w:i/>
                <w:szCs w:val="24"/>
              </w:rPr>
              <w:t>Nivolumabum</w:t>
            </w:r>
            <w:proofErr w:type="spellEnd"/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C0D7" w14:textId="77777777" w:rsidR="004255DF" w:rsidRDefault="008E23DF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C00-C14</w:t>
            </w:r>
          </w:p>
        </w:tc>
        <w:tc>
          <w:tcPr>
            <w:tcW w:w="5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C0D8" w14:textId="77777777" w:rsidR="004255DF" w:rsidRDefault="004255DF">
            <w:pPr>
              <w:jc w:val="both"/>
              <w:rPr>
                <w:rFonts w:eastAsia="Calibri"/>
                <w:bCs/>
                <w:color w:val="000000"/>
                <w:szCs w:val="24"/>
              </w:rPr>
            </w:pPr>
          </w:p>
        </w:tc>
      </w:tr>
      <w:tr w:rsidR="004255DF" w14:paraId="4659C0DF" w14:textId="77777777">
        <w:trPr>
          <w:trHeight w:val="257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C0DA" w14:textId="77777777" w:rsidR="004255DF" w:rsidRDefault="004255DF">
            <w:pPr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C0DB" w14:textId="77777777" w:rsidR="004255DF" w:rsidRDefault="004255DF">
            <w:pPr>
              <w:spacing w:line="276" w:lineRule="auto"/>
              <w:rPr>
                <w:rFonts w:eastAsia="Calibri"/>
                <w:szCs w:val="24"/>
              </w:rPr>
            </w:pPr>
          </w:p>
        </w:tc>
        <w:tc>
          <w:tcPr>
            <w:tcW w:w="17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C0DC" w14:textId="77777777" w:rsidR="004255DF" w:rsidRDefault="004255DF">
            <w:pPr>
              <w:rPr>
                <w:rFonts w:eastAsia="Calibri"/>
                <w:i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C0DD" w14:textId="77777777" w:rsidR="004255DF" w:rsidRDefault="008E23DF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C34</w:t>
            </w:r>
          </w:p>
        </w:tc>
        <w:tc>
          <w:tcPr>
            <w:tcW w:w="5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C0DE" w14:textId="77777777" w:rsidR="004255DF" w:rsidRDefault="008E23DF">
            <w:pPr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Skiriamas pacientams, sergantiems lokaliai išplitusiu arba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metastazavusiu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nesmulkialąsteliniu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plaučių vėžiu, gydyti, kai liga progresuoja po taikyto gydymo chemoterapija platinos pagrindu. Pacientams, kuriems nustatyta aktyvinančių EGFR mutacijų arba ALK t</w:t>
            </w:r>
            <w:r>
              <w:rPr>
                <w:rFonts w:eastAsia="Calibri"/>
                <w:color w:val="000000"/>
                <w:szCs w:val="24"/>
              </w:rPr>
              <w:t xml:space="preserve">eigiamų naviko mutacijų, prieš pradedant vartoti </w:t>
            </w:r>
            <w:proofErr w:type="spellStart"/>
            <w:r>
              <w:rPr>
                <w:rFonts w:eastAsia="Calibri"/>
                <w:i/>
                <w:iCs/>
                <w:color w:val="000000"/>
                <w:szCs w:val="24"/>
              </w:rPr>
              <w:t>nivolumabum</w:t>
            </w:r>
            <w:proofErr w:type="spellEnd"/>
            <w:r>
              <w:rPr>
                <w:rFonts w:eastAsia="Calibri"/>
                <w:i/>
                <w:iCs/>
                <w:color w:val="000000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Cs w:val="24"/>
              </w:rPr>
              <w:t>taip pat turi būti skirtas tikslinis navikų gydymas.</w:t>
            </w:r>
          </w:p>
        </w:tc>
      </w:tr>
      <w:tr w:rsidR="004255DF" w14:paraId="4659C0E7" w14:textId="77777777">
        <w:trPr>
          <w:trHeight w:val="257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C0E0" w14:textId="77777777" w:rsidR="004255DF" w:rsidRDefault="004255DF">
            <w:pPr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C0E1" w14:textId="77777777" w:rsidR="004255DF" w:rsidRDefault="004255DF">
            <w:pPr>
              <w:spacing w:line="276" w:lineRule="auto"/>
              <w:rPr>
                <w:rFonts w:eastAsia="Calibri"/>
                <w:szCs w:val="24"/>
              </w:rPr>
            </w:pPr>
          </w:p>
        </w:tc>
        <w:tc>
          <w:tcPr>
            <w:tcW w:w="17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C0E2" w14:textId="77777777" w:rsidR="004255DF" w:rsidRDefault="004255DF">
            <w:pPr>
              <w:rPr>
                <w:rFonts w:eastAsia="Calibri"/>
                <w:i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C0E3" w14:textId="77777777" w:rsidR="004255DF" w:rsidRDefault="008E23DF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C43</w:t>
            </w:r>
          </w:p>
        </w:tc>
        <w:tc>
          <w:tcPr>
            <w:tcW w:w="5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C0E4" w14:textId="77777777" w:rsidR="004255DF" w:rsidRDefault="008E23DF">
            <w:pPr>
              <w:jc w:val="both"/>
              <w:rPr>
                <w:rFonts w:eastAsia="Calibri"/>
                <w:color w:val="000000"/>
                <w:szCs w:val="24"/>
                <w:lang w:eastAsia="lt-LT"/>
              </w:rPr>
            </w:pPr>
            <w:r>
              <w:rPr>
                <w:rFonts w:eastAsia="Calibri"/>
                <w:color w:val="000000"/>
                <w:szCs w:val="24"/>
                <w:lang w:eastAsia="lt-LT"/>
              </w:rPr>
              <w:t xml:space="preserve">Gydymą gydytojų onkologų konsiliumo sprendimu pradėti ir tęsti gali tik gydytojas onkologas </w:t>
            </w:r>
            <w:proofErr w:type="spellStart"/>
            <w:r>
              <w:rPr>
                <w:rFonts w:eastAsia="Calibri"/>
                <w:color w:val="000000"/>
                <w:szCs w:val="24"/>
                <w:lang w:eastAsia="lt-LT"/>
              </w:rPr>
              <w:t>chemoterapeutas</w:t>
            </w:r>
            <w:proofErr w:type="spellEnd"/>
            <w:r>
              <w:rPr>
                <w:rFonts w:eastAsia="Calibri"/>
                <w:color w:val="000000"/>
                <w:szCs w:val="24"/>
                <w:lang w:eastAsia="lt-LT"/>
              </w:rPr>
              <w:t xml:space="preserve"> asmens sveikatos priežiūro</w:t>
            </w:r>
            <w:r>
              <w:rPr>
                <w:rFonts w:eastAsia="Calibri"/>
                <w:color w:val="000000"/>
                <w:szCs w:val="24"/>
                <w:lang w:eastAsia="lt-LT"/>
              </w:rPr>
              <w:t>s įstaigoje, turinčioje licenciją teikti stacionarines onkologijos chemoterapijos paslaugas. Skiriamas melanomai gydyti:</w:t>
            </w:r>
          </w:p>
          <w:p w14:paraId="4659C0E5" w14:textId="77777777" w:rsidR="004255DF" w:rsidRDefault="008E23DF">
            <w:pPr>
              <w:jc w:val="both"/>
              <w:rPr>
                <w:rFonts w:eastAsia="Calibri"/>
                <w:color w:val="000000"/>
                <w:szCs w:val="24"/>
                <w:lang w:eastAsia="lt-LT"/>
              </w:rPr>
            </w:pPr>
            <w:r>
              <w:rPr>
                <w:rFonts w:eastAsia="Calibri"/>
                <w:color w:val="000000"/>
                <w:szCs w:val="24"/>
                <w:lang w:eastAsia="lt-LT"/>
              </w:rPr>
              <w:t>1) kai nenustatyta BRAF V600 mutacija. Prieš paskiriant gydymą būtina atlikti BRAF mutacijos nustatymo tyrimą;</w:t>
            </w:r>
          </w:p>
          <w:p w14:paraId="4659C0E6" w14:textId="77777777" w:rsidR="004255DF" w:rsidRDefault="008E23DF">
            <w:pPr>
              <w:jc w:val="both"/>
              <w:rPr>
                <w:rFonts w:eastAsia="Calibri"/>
                <w:color w:val="000000"/>
                <w:szCs w:val="24"/>
                <w:lang w:eastAsia="lt-LT"/>
              </w:rPr>
            </w:pPr>
            <w:r>
              <w:rPr>
                <w:rFonts w:eastAsia="Calibri"/>
                <w:color w:val="000000"/>
                <w:szCs w:val="24"/>
                <w:lang w:eastAsia="lt-LT"/>
              </w:rPr>
              <w:lastRenderedPageBreak/>
              <w:t xml:space="preserve">2) antraeiliam gydymui, </w:t>
            </w:r>
            <w:r>
              <w:rPr>
                <w:rFonts w:eastAsia="Calibri"/>
                <w:color w:val="000000"/>
                <w:szCs w:val="24"/>
                <w:lang w:eastAsia="lt-LT"/>
              </w:rPr>
              <w:t>kai nustatyta BRAF V600 mutacija.</w:t>
            </w:r>
          </w:p>
        </w:tc>
      </w:tr>
      <w:tr w:rsidR="004255DF" w14:paraId="4659C0ED" w14:textId="77777777">
        <w:trPr>
          <w:trHeight w:val="257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C0E8" w14:textId="77777777" w:rsidR="004255DF" w:rsidRDefault="004255DF">
            <w:pPr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C0E9" w14:textId="77777777" w:rsidR="004255DF" w:rsidRDefault="004255DF">
            <w:pPr>
              <w:spacing w:line="276" w:lineRule="auto"/>
              <w:rPr>
                <w:rFonts w:eastAsia="Calibri"/>
                <w:szCs w:val="24"/>
              </w:rPr>
            </w:pPr>
          </w:p>
        </w:tc>
        <w:tc>
          <w:tcPr>
            <w:tcW w:w="17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C0EA" w14:textId="77777777" w:rsidR="004255DF" w:rsidRDefault="004255DF">
            <w:pPr>
              <w:rPr>
                <w:rFonts w:eastAsia="Calibri"/>
                <w:i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C0EB" w14:textId="77777777" w:rsidR="004255DF" w:rsidRDefault="008E23DF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C64</w:t>
            </w:r>
          </w:p>
        </w:tc>
        <w:tc>
          <w:tcPr>
            <w:tcW w:w="5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C0EC" w14:textId="77777777" w:rsidR="004255DF" w:rsidRDefault="008E23DF">
            <w:pPr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Skiriamas tik progresavusia inkstų ląstelių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karcinoma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sergantiems pacientams, kurių liga progresavo gydant arba po gydymo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s</w:t>
            </w:r>
            <w:r>
              <w:rPr>
                <w:rFonts w:eastAsia="Calibri"/>
                <w:i/>
                <w:iCs/>
                <w:color w:val="000000"/>
                <w:szCs w:val="24"/>
              </w:rPr>
              <w:t>unitinibum</w:t>
            </w:r>
            <w:proofErr w:type="spellEnd"/>
            <w:r>
              <w:rPr>
                <w:rFonts w:eastAsia="Calibri"/>
                <w:i/>
                <w:iCs/>
                <w:color w:val="000000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Cs w:val="24"/>
              </w:rPr>
              <w:t xml:space="preserve">ar </w:t>
            </w:r>
            <w:proofErr w:type="spellStart"/>
            <w:r>
              <w:rPr>
                <w:rFonts w:eastAsia="Calibri"/>
                <w:i/>
                <w:iCs/>
                <w:color w:val="000000"/>
                <w:szCs w:val="24"/>
              </w:rPr>
              <w:t>pazopanibum</w:t>
            </w:r>
            <w:proofErr w:type="spellEnd"/>
            <w:r>
              <w:rPr>
                <w:rFonts w:eastAsia="Calibri"/>
                <w:i/>
                <w:iCs/>
                <w:color w:val="000000"/>
                <w:szCs w:val="24"/>
              </w:rPr>
              <w:t>.</w:t>
            </w:r>
            <w:r>
              <w:rPr>
                <w:rFonts w:eastAsia="Calibri"/>
                <w:color w:val="000000"/>
                <w:szCs w:val="24"/>
              </w:rPr>
              <w:t>“</w:t>
            </w:r>
          </w:p>
        </w:tc>
      </w:tr>
    </w:tbl>
    <w:p w14:paraId="4659C0EE" w14:textId="77777777" w:rsidR="004255DF" w:rsidRDefault="008E23DF"/>
    <w:p w14:paraId="4659C0EF" w14:textId="77777777" w:rsidR="004255DF" w:rsidRDefault="008E23DF">
      <w:pPr>
        <w:ind w:left="1080" w:hanging="36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3</w:t>
      </w:r>
      <w:r>
        <w:rPr>
          <w:rFonts w:eastAsia="Calibri"/>
          <w:szCs w:val="24"/>
          <w:lang w:eastAsia="lt-LT"/>
        </w:rPr>
        <w:t>.</w:t>
      </w:r>
      <w:r>
        <w:rPr>
          <w:rFonts w:eastAsia="Calibri"/>
          <w:szCs w:val="24"/>
          <w:lang w:eastAsia="lt-LT"/>
        </w:rPr>
        <w:tab/>
        <w:t xml:space="preserve">Papildau II skyriaus „NAVIKAI“ 1 skirsnį 1.118 </w:t>
      </w:r>
      <w:r>
        <w:rPr>
          <w:rFonts w:eastAsia="Calibri"/>
          <w:szCs w:val="24"/>
          <w:lang w:eastAsia="lt-LT"/>
        </w:rPr>
        <w:t>papunkčiu: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6"/>
        <w:gridCol w:w="636"/>
        <w:gridCol w:w="2065"/>
        <w:gridCol w:w="1276"/>
        <w:gridCol w:w="4957"/>
      </w:tblGrid>
      <w:tr w:rsidR="004255DF" w14:paraId="4659C0F5" w14:textId="77777777">
        <w:trPr>
          <w:trHeight w:val="257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C0F0" w14:textId="77777777" w:rsidR="004255DF" w:rsidRDefault="008E23DF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„1.</w:t>
            </w:r>
          </w:p>
        </w:tc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C0F1" w14:textId="77777777" w:rsidR="004255DF" w:rsidRDefault="008E23DF">
            <w:pPr>
              <w:spacing w:line="276" w:lineRule="auto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</w:rPr>
              <w:t>118.</w:t>
            </w:r>
          </w:p>
        </w:tc>
        <w:tc>
          <w:tcPr>
            <w:tcW w:w="2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C0F2" w14:textId="77777777" w:rsidR="004255DF" w:rsidRDefault="008E23DF">
            <w:pPr>
              <w:rPr>
                <w:rFonts w:eastAsia="Calibri"/>
                <w:i/>
                <w:szCs w:val="24"/>
              </w:rPr>
            </w:pPr>
            <w:proofErr w:type="spellStart"/>
            <w:r>
              <w:rPr>
                <w:rFonts w:eastAsia="Calibri"/>
                <w:i/>
                <w:szCs w:val="24"/>
              </w:rPr>
              <w:t>Durvalumabum</w:t>
            </w:r>
            <w:proofErr w:type="spellEnd"/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C0F3" w14:textId="77777777" w:rsidR="004255DF" w:rsidRDefault="008E23DF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C34“</w:t>
            </w:r>
          </w:p>
        </w:tc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C0F4" w14:textId="77777777" w:rsidR="004255DF" w:rsidRDefault="004255DF">
            <w:pPr>
              <w:jc w:val="both"/>
              <w:rPr>
                <w:rFonts w:eastAsia="Calibri"/>
                <w:color w:val="000000"/>
                <w:szCs w:val="24"/>
              </w:rPr>
            </w:pPr>
          </w:p>
        </w:tc>
      </w:tr>
    </w:tbl>
    <w:p w14:paraId="4659C0F6" w14:textId="77777777" w:rsidR="004255DF" w:rsidRDefault="008E23DF"/>
    <w:p w14:paraId="4659C0F7" w14:textId="77777777" w:rsidR="004255DF" w:rsidRDefault="008E23DF">
      <w:pPr>
        <w:ind w:firstLine="744"/>
        <w:jc w:val="both"/>
        <w:rPr>
          <w:rFonts w:eastAsia="Calibri"/>
          <w:szCs w:val="24"/>
        </w:rPr>
      </w:pPr>
      <w:r>
        <w:rPr>
          <w:rFonts w:eastAsia="Calibri"/>
          <w:szCs w:val="24"/>
          <w:lang w:eastAsia="lt-LT"/>
        </w:rPr>
        <w:t>4</w:t>
      </w:r>
      <w:r>
        <w:rPr>
          <w:rFonts w:eastAsia="Calibri"/>
          <w:szCs w:val="24"/>
          <w:lang w:eastAsia="lt-LT"/>
        </w:rPr>
        <w:t xml:space="preserve">. </w:t>
      </w:r>
      <w:r>
        <w:rPr>
          <w:rFonts w:eastAsia="Calibri"/>
          <w:szCs w:val="24"/>
        </w:rPr>
        <w:t>Papildau XII skyriaus „ODOS IR POODŽIO LIGOS“ 5 skirsnį 5.7 papunkčiu: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6"/>
        <w:gridCol w:w="636"/>
        <w:gridCol w:w="1753"/>
        <w:gridCol w:w="1276"/>
        <w:gridCol w:w="5269"/>
      </w:tblGrid>
      <w:tr w:rsidR="004255DF" w14:paraId="4659C0FD" w14:textId="77777777">
        <w:trPr>
          <w:trHeight w:val="257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C0F8" w14:textId="77777777" w:rsidR="004255DF" w:rsidRDefault="008E23DF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„5.</w:t>
            </w:r>
          </w:p>
        </w:tc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C0F9" w14:textId="77777777" w:rsidR="004255DF" w:rsidRDefault="008E23DF">
            <w:pPr>
              <w:spacing w:line="276" w:lineRule="auto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</w:rPr>
              <w:t>7.</w:t>
            </w:r>
          </w:p>
        </w:tc>
        <w:tc>
          <w:tcPr>
            <w:tcW w:w="17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C0FA" w14:textId="77777777" w:rsidR="004255DF" w:rsidRDefault="008E23DF">
            <w:pPr>
              <w:rPr>
                <w:rFonts w:eastAsia="Calibri"/>
                <w:i/>
                <w:szCs w:val="24"/>
              </w:rPr>
            </w:pPr>
            <w:proofErr w:type="spellStart"/>
            <w:r>
              <w:rPr>
                <w:rFonts w:eastAsia="Calibri"/>
                <w:i/>
                <w:szCs w:val="24"/>
              </w:rPr>
              <w:t>Dupilumabum</w:t>
            </w:r>
            <w:proofErr w:type="spellEnd"/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C0FB" w14:textId="77777777" w:rsidR="004255DF" w:rsidRDefault="008E23DF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L20</w:t>
            </w:r>
          </w:p>
        </w:tc>
        <w:tc>
          <w:tcPr>
            <w:tcW w:w="5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C0FC" w14:textId="77777777" w:rsidR="004255DF" w:rsidRDefault="008E23DF">
            <w:pPr>
              <w:spacing w:line="276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Skiriamas suaugusiems pacientams, sergantiems sunkiu </w:t>
            </w:r>
            <w:proofErr w:type="spellStart"/>
            <w:r>
              <w:rPr>
                <w:rFonts w:eastAsia="Calibri"/>
                <w:szCs w:val="24"/>
              </w:rPr>
              <w:t>atopiniu</w:t>
            </w:r>
            <w:proofErr w:type="spellEnd"/>
            <w:r>
              <w:rPr>
                <w:rFonts w:eastAsia="Calibri"/>
                <w:szCs w:val="24"/>
              </w:rPr>
              <w:t xml:space="preserve"> dermatitu, kuriems gydymas </w:t>
            </w:r>
            <w:proofErr w:type="spellStart"/>
            <w:r>
              <w:rPr>
                <w:rFonts w:eastAsia="Calibri"/>
                <w:szCs w:val="24"/>
              </w:rPr>
              <w:t>ciklosporinu</w:t>
            </w:r>
            <w:proofErr w:type="spellEnd"/>
            <w:r>
              <w:rPr>
                <w:rFonts w:eastAsia="Calibri"/>
                <w:szCs w:val="24"/>
              </w:rPr>
              <w:t xml:space="preserve"> yra </w:t>
            </w:r>
            <w:r>
              <w:rPr>
                <w:rFonts w:eastAsia="Calibri"/>
                <w:szCs w:val="24"/>
              </w:rPr>
              <w:t xml:space="preserve">netinkamas ar </w:t>
            </w:r>
            <w:proofErr w:type="spellStart"/>
            <w:r>
              <w:rPr>
                <w:rFonts w:eastAsia="Calibri"/>
                <w:szCs w:val="24"/>
              </w:rPr>
              <w:t>kontraindikuotinas</w:t>
            </w:r>
            <w:proofErr w:type="spellEnd"/>
            <w:r>
              <w:rPr>
                <w:rFonts w:eastAsia="Calibri"/>
                <w:szCs w:val="24"/>
              </w:rPr>
              <w:t>. Vaistą skiria tretinio lygio gydytojas dermatovenerologas arba gydytojas alergologas ir klinikinis imunologas. Gydymą tęsia gydytojas dermatovenerologas, gydytojas alergologas ir klinikinis imunologas arba šeimos gydytojas</w:t>
            </w:r>
            <w:r>
              <w:rPr>
                <w:rFonts w:eastAsia="Calibri"/>
                <w:szCs w:val="24"/>
              </w:rPr>
              <w:t>. Gydymo efektyvumas vertinamas po 16 savaičių nuo gydymo pradžios ir nepasiekus gydymo efekto privalo būti nutrauktas.“</w:t>
            </w:r>
          </w:p>
        </w:tc>
      </w:tr>
    </w:tbl>
    <w:p w14:paraId="4659C0FF" w14:textId="77777777" w:rsidR="004255DF" w:rsidRDefault="008E23DF">
      <w:pPr>
        <w:rPr>
          <w:sz w:val="18"/>
          <w:szCs w:val="18"/>
        </w:rPr>
      </w:pPr>
    </w:p>
    <w:p w14:paraId="1FCD9CB4" w14:textId="77777777" w:rsidR="008E23DF" w:rsidRDefault="008E23DF">
      <w:pPr>
        <w:jc w:val="both"/>
      </w:pPr>
    </w:p>
    <w:p w14:paraId="073EF15B" w14:textId="77777777" w:rsidR="008E23DF" w:rsidRDefault="008E23DF">
      <w:pPr>
        <w:jc w:val="both"/>
      </w:pPr>
    </w:p>
    <w:p w14:paraId="14BDE0B1" w14:textId="77777777" w:rsidR="008E23DF" w:rsidRDefault="008E23DF">
      <w:pPr>
        <w:jc w:val="both"/>
      </w:pPr>
    </w:p>
    <w:p w14:paraId="4659C11E" w14:textId="2E0169A7" w:rsidR="004255DF" w:rsidRDefault="008E23DF">
      <w:pPr>
        <w:jc w:val="both"/>
        <w:rPr>
          <w:rFonts w:eastAsia="Calibri"/>
          <w:szCs w:val="24"/>
        </w:rPr>
      </w:pPr>
      <w:bookmarkStart w:id="0" w:name="_GoBack"/>
      <w:bookmarkEnd w:id="0"/>
      <w:r>
        <w:rPr>
          <w:rFonts w:eastAsia="Calibri"/>
          <w:szCs w:val="24"/>
        </w:rPr>
        <w:t>Sveikatos apsaugos ministras</w:t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  <w:t xml:space="preserve">   Aurelijus </w:t>
      </w:r>
      <w:proofErr w:type="spellStart"/>
      <w:r>
        <w:rPr>
          <w:rFonts w:eastAsia="Calibri"/>
          <w:szCs w:val="24"/>
        </w:rPr>
        <w:t>Veryga</w:t>
      </w:r>
      <w:proofErr w:type="spellEnd"/>
    </w:p>
    <w:sectPr w:rsidR="004255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9C122" w14:textId="77777777" w:rsidR="004255DF" w:rsidRDefault="008E23DF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4659C123" w14:textId="77777777" w:rsidR="004255DF" w:rsidRDefault="008E23DF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9C127" w14:textId="77777777" w:rsidR="004255DF" w:rsidRDefault="004255DF">
    <w:pPr>
      <w:tabs>
        <w:tab w:val="center" w:pos="4819"/>
        <w:tab w:val="right" w:pos="9638"/>
      </w:tabs>
      <w:rPr>
        <w:rFonts w:ascii="Calibri" w:eastAsia="Calibri" w:hAnsi="Calibri"/>
        <w:sz w:val="20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9C128" w14:textId="77777777" w:rsidR="004255DF" w:rsidRDefault="004255DF">
    <w:pPr>
      <w:tabs>
        <w:tab w:val="center" w:pos="4819"/>
        <w:tab w:val="right" w:pos="9638"/>
      </w:tabs>
      <w:rPr>
        <w:rFonts w:ascii="Calibri" w:eastAsia="Calibri" w:hAnsi="Calibri"/>
        <w:sz w:val="20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9C12A" w14:textId="77777777" w:rsidR="004255DF" w:rsidRDefault="004255DF">
    <w:pPr>
      <w:tabs>
        <w:tab w:val="center" w:pos="4819"/>
        <w:tab w:val="right" w:pos="9638"/>
      </w:tabs>
      <w:rPr>
        <w:rFonts w:ascii="Calibri" w:eastAsia="Calibri" w:hAnsi="Calibri"/>
        <w:sz w:val="20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9C120" w14:textId="77777777" w:rsidR="004255DF" w:rsidRDefault="008E23DF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4659C121" w14:textId="77777777" w:rsidR="004255DF" w:rsidRDefault="008E23DF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9C124" w14:textId="77777777" w:rsidR="004255DF" w:rsidRDefault="004255DF">
    <w:pPr>
      <w:tabs>
        <w:tab w:val="center" w:pos="4819"/>
        <w:tab w:val="right" w:pos="9638"/>
      </w:tabs>
      <w:rPr>
        <w:rFonts w:ascii="Calibri" w:eastAsia="Calibri" w:hAnsi="Calibri"/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9C125" w14:textId="77777777" w:rsidR="004255DF" w:rsidRDefault="008E23DF">
    <w:pPr>
      <w:tabs>
        <w:tab w:val="center" w:pos="4819"/>
        <w:tab w:val="right" w:pos="9638"/>
      </w:tabs>
      <w:jc w:val="center"/>
      <w:rPr>
        <w:rFonts w:ascii="Calibri" w:eastAsia="Calibri" w:hAnsi="Calibri"/>
        <w:sz w:val="20"/>
        <w:lang w:eastAsia="lt-LT"/>
      </w:rPr>
    </w:pPr>
    <w:r>
      <w:rPr>
        <w:rFonts w:ascii="Calibri" w:eastAsia="Calibri" w:hAnsi="Calibri"/>
        <w:sz w:val="20"/>
        <w:lang w:eastAsia="lt-LT"/>
      </w:rPr>
      <w:fldChar w:fldCharType="begin"/>
    </w:r>
    <w:r>
      <w:rPr>
        <w:rFonts w:ascii="Calibri" w:eastAsia="Calibri" w:hAnsi="Calibri"/>
        <w:sz w:val="20"/>
        <w:lang w:eastAsia="lt-LT"/>
      </w:rPr>
      <w:instrText>PAGE   \* MERGEFORMAT</w:instrText>
    </w:r>
    <w:r>
      <w:rPr>
        <w:rFonts w:ascii="Calibri" w:eastAsia="Calibri" w:hAnsi="Calibri"/>
        <w:sz w:val="20"/>
        <w:lang w:eastAsia="lt-LT"/>
      </w:rPr>
      <w:fldChar w:fldCharType="separate"/>
    </w:r>
    <w:r>
      <w:rPr>
        <w:rFonts w:ascii="Calibri" w:eastAsia="Calibri" w:hAnsi="Calibri"/>
        <w:noProof/>
        <w:sz w:val="20"/>
        <w:lang w:eastAsia="lt-LT"/>
      </w:rPr>
      <w:t>2</w:t>
    </w:r>
    <w:r>
      <w:rPr>
        <w:rFonts w:ascii="Calibri" w:eastAsia="Calibri" w:hAnsi="Calibri"/>
        <w:sz w:val="20"/>
        <w:lang w:eastAsia="lt-LT"/>
      </w:rPr>
      <w:fldChar w:fldCharType="end"/>
    </w:r>
  </w:p>
  <w:p w14:paraId="4659C126" w14:textId="77777777" w:rsidR="004255DF" w:rsidRDefault="004255DF">
    <w:pPr>
      <w:tabs>
        <w:tab w:val="center" w:pos="4819"/>
        <w:tab w:val="right" w:pos="9638"/>
      </w:tabs>
      <w:rPr>
        <w:rFonts w:ascii="Calibri" w:eastAsia="Calibri" w:hAnsi="Calibri"/>
        <w:sz w:val="20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9C129" w14:textId="77777777" w:rsidR="004255DF" w:rsidRDefault="004255DF">
    <w:pPr>
      <w:tabs>
        <w:tab w:val="center" w:pos="4819"/>
        <w:tab w:val="right" w:pos="9638"/>
      </w:tabs>
      <w:rPr>
        <w:rFonts w:ascii="Calibri" w:eastAsia="Calibri" w:hAnsi="Calibri"/>
        <w:sz w:val="20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CA"/>
    <w:rsid w:val="004255DF"/>
    <w:rsid w:val="008E23DF"/>
    <w:rsid w:val="00A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659C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7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7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2044</Words>
  <Characters>1166</Characters>
  <Application>Microsoft Office Word</Application>
  <DocSecurity>0</DocSecurity>
  <Lines>9</Lines>
  <Paragraphs>6</Paragraphs>
  <ScaleCrop>false</ScaleCrop>
  <Company/>
  <LinksUpToDate>false</LinksUpToDate>
  <CharactersWithSpaces>3204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2020-05-12T14:37:00Z</dcterms:created>
  <dc:creator>tomasevic</dc:creator>
  <lastModifiedBy>ŠAULYTĖ SKAIRIENĖ Dalia</lastModifiedBy>
  <lastPrinted>2020-04-07T11:00:00Z</lastPrinted>
  <dcterms:modified xsi:type="dcterms:W3CDTF">2020-05-12T16:59:00Z</dcterms:modified>
  <revision>3</revision>
</coreProperties>
</file>