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2dac8149a29a4450ab17b6cbab69fb1c"/>
        <w:id w:val="-744335841"/>
        <w:lock w:val="sdtLocked"/>
        <w:placeholder>
          <w:docPart w:val="DefaultPlaceholder_1082065158"/>
        </w:placeholder>
      </w:sdtPr>
      <w:sdtContent>
        <w:p w14:paraId="46727585" w14:textId="5375D0A2" w:rsidR="00044D13" w:rsidRDefault="008843DF">
          <w:pPr>
            <w:jc w:val="center"/>
          </w:pPr>
          <w:r>
            <w:rPr>
              <w:b/>
              <w:bCs/>
              <w:noProof/>
              <w:szCs w:val="24"/>
              <w:lang w:eastAsia="lt-LT"/>
            </w:rPr>
            <w:drawing>
              <wp:inline distT="0" distB="0" distL="0" distR="0" wp14:anchorId="6F0E054F" wp14:editId="6F0E0550">
                <wp:extent cx="542925" cy="552450"/>
                <wp:effectExtent l="0" t="0" r="9525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C2E575" w14:textId="77777777" w:rsidR="00044D13" w:rsidRDefault="00044D13">
          <w:pPr>
            <w:jc w:val="center"/>
          </w:pPr>
        </w:p>
        <w:p w14:paraId="51818372" w14:textId="77777777" w:rsidR="00044D13" w:rsidRDefault="008843DF">
          <w:pPr>
            <w:spacing w:line="276" w:lineRule="auto"/>
            <w:jc w:val="center"/>
            <w:rPr>
              <w:b/>
              <w:bCs/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LIETUVOS RESPUBLIKOS ŠVIETIMO IR MOKSLO MINISTRAS</w:t>
          </w:r>
        </w:p>
        <w:p w14:paraId="197B8417" w14:textId="77777777" w:rsidR="00044D13" w:rsidRDefault="008843DF">
          <w:pPr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ĮSAKYMAS</w:t>
          </w:r>
        </w:p>
        <w:p w14:paraId="03A530EC" w14:textId="77777777" w:rsidR="00044D13" w:rsidRDefault="00044D13">
          <w:pPr>
            <w:spacing w:line="276" w:lineRule="auto"/>
            <w:jc w:val="center"/>
            <w:rPr>
              <w:b/>
              <w:bCs/>
            </w:rPr>
          </w:pPr>
        </w:p>
        <w:p w14:paraId="6E429B9B" w14:textId="32871CFB" w:rsidR="00044D13" w:rsidRDefault="008843DF">
          <w:pPr>
            <w:spacing w:line="276" w:lineRule="auto"/>
            <w:jc w:val="center"/>
            <w:rPr>
              <w:b/>
              <w:szCs w:val="24"/>
            </w:rPr>
          </w:pPr>
          <w:r>
            <w:rPr>
              <w:b/>
              <w:bCs/>
              <w:szCs w:val="24"/>
            </w:rPr>
            <w:t xml:space="preserve">DĖL </w:t>
          </w:r>
          <w:r>
            <w:rPr>
              <w:b/>
              <w:szCs w:val="24"/>
            </w:rPr>
            <w:t>ŠVIETIMO IR MOKSLO MINISTRO 2009 M. KOVO 9 D. ĮSAKYMO</w:t>
          </w:r>
        </w:p>
        <w:p w14:paraId="0C587DD3" w14:textId="77777777" w:rsidR="00044D13" w:rsidRDefault="008843DF">
          <w:pPr>
            <w:keepLines/>
            <w:suppressAutoHyphens/>
            <w:overflowPunct w:val="0"/>
            <w:spacing w:line="276" w:lineRule="auto"/>
            <w:jc w:val="center"/>
            <w:textAlignment w:val="center"/>
            <w:rPr>
              <w:b/>
              <w:bCs/>
              <w:color w:val="000000"/>
              <w:szCs w:val="24"/>
            </w:rPr>
          </w:pPr>
          <w:r>
            <w:rPr>
              <w:b/>
              <w:szCs w:val="24"/>
            </w:rPr>
            <w:t>NR. ISAK-465 „</w:t>
          </w:r>
          <w:r>
            <w:rPr>
              <w:b/>
              <w:bCs/>
              <w:color w:val="000000"/>
              <w:szCs w:val="24"/>
            </w:rPr>
            <w:t>DĖL 2007–2013 M. ŽMOGIŠKŲJŲ IŠTEKLIŲ PLĖTROS VEIKSMŲ PROGRAMOS 2 PRIORITETO „MOKYMASIS VISĄ GYVENIMĄ“</w:t>
          </w:r>
        </w:p>
        <w:p w14:paraId="39DFCC83" w14:textId="77777777" w:rsidR="00044D13" w:rsidRDefault="008843DF">
          <w:pPr>
            <w:keepLines/>
            <w:suppressAutoHyphens/>
            <w:overflowPunct w:val="0"/>
            <w:spacing w:line="276" w:lineRule="auto"/>
            <w:jc w:val="center"/>
            <w:textAlignment w:val="center"/>
            <w:rPr>
              <w:b/>
              <w:bCs/>
              <w:caps/>
              <w:szCs w:val="24"/>
            </w:rPr>
          </w:pPr>
          <w:r>
            <w:rPr>
              <w:b/>
              <w:bCs/>
              <w:color w:val="000000"/>
              <w:szCs w:val="24"/>
            </w:rPr>
            <w:t xml:space="preserve">VP1-2.2-ŠMM-01-V </w:t>
          </w:r>
          <w:r>
            <w:rPr>
              <w:b/>
              <w:bCs/>
              <w:color w:val="000000"/>
              <w:szCs w:val="24"/>
            </w:rPr>
            <w:t>PRIEMONĖS „STUDIJAS REGLAMENTUOJANČIŲ APRAŠŲ RENGIMAS AR ATNAUJINIMAS, ATSIŽVELGIANT Į NAUJUS KOKYBINIUS REIKALAVIMUS“ PROJEKTŲ FINANSAVIMO SĄLYGŲ APRAŠO PATVIRTINIMO</w:t>
          </w:r>
          <w:r>
            <w:rPr>
              <w:b/>
              <w:szCs w:val="24"/>
            </w:rPr>
            <w:t>“ PAKEITIMO</w:t>
          </w:r>
        </w:p>
        <w:p w14:paraId="0875445A" w14:textId="77777777" w:rsidR="00044D13" w:rsidRDefault="00044D13">
          <w:pPr>
            <w:keepNext/>
            <w:tabs>
              <w:tab w:val="left" w:pos="4927"/>
            </w:tabs>
            <w:overflowPunct w:val="0"/>
            <w:spacing w:line="276" w:lineRule="auto"/>
            <w:jc w:val="center"/>
            <w:outlineLvl w:val="2"/>
          </w:pPr>
        </w:p>
        <w:p w14:paraId="7D35F289" w14:textId="747518C3" w:rsidR="00044D13" w:rsidRDefault="008843DF">
          <w:pPr>
            <w:keepNext/>
            <w:tabs>
              <w:tab w:val="left" w:pos="4927"/>
            </w:tabs>
            <w:overflowPunct w:val="0"/>
            <w:spacing w:line="276" w:lineRule="auto"/>
            <w:jc w:val="center"/>
            <w:outlineLvl w:val="2"/>
          </w:pPr>
          <w:r>
            <w:t>2014 m. spalio 9 d. Nr. V-895</w:t>
          </w:r>
        </w:p>
        <w:p w14:paraId="75BEFFAF" w14:textId="029D7FF7" w:rsidR="00044D13" w:rsidRDefault="008843DF">
          <w:pPr>
            <w:keepNext/>
            <w:tabs>
              <w:tab w:val="left" w:pos="4927"/>
            </w:tabs>
            <w:overflowPunct w:val="0"/>
            <w:spacing w:line="276" w:lineRule="auto"/>
            <w:jc w:val="center"/>
            <w:outlineLvl w:val="2"/>
            <w:rPr>
              <w:szCs w:val="24"/>
            </w:rPr>
          </w:pPr>
          <w:r>
            <w:rPr>
              <w:szCs w:val="24"/>
            </w:rPr>
            <w:t>Vilnius</w:t>
          </w:r>
        </w:p>
        <w:p w14:paraId="7EF7689C" w14:textId="57A1941B" w:rsidR="00044D13" w:rsidRDefault="00044D13">
          <w:pPr>
            <w:keepNext/>
            <w:tabs>
              <w:tab w:val="left" w:pos="4927"/>
            </w:tabs>
            <w:overflowPunct w:val="0"/>
            <w:spacing w:line="276" w:lineRule="auto"/>
            <w:jc w:val="center"/>
            <w:outlineLvl w:val="2"/>
            <w:rPr>
              <w:szCs w:val="24"/>
            </w:rPr>
          </w:pPr>
        </w:p>
        <w:sdt>
          <w:sdtPr>
            <w:rPr>
              <w:color w:val="000000"/>
              <w:szCs w:val="24"/>
            </w:rPr>
            <w:alias w:val="preambule"/>
            <w:tag w:val="part_edf45c77608b4d21bb029d58c4d32224"/>
            <w:id w:val="-1486462446"/>
            <w:lock w:val="sdtLocked"/>
            <w:placeholder>
              <w:docPart w:val="DefaultPlaceholder_1082065158"/>
            </w:placeholder>
          </w:sdtPr>
          <w:sdtContent>
            <w:p w14:paraId="6F0E052E" w14:textId="6F817007" w:rsidR="00044D13" w:rsidRDefault="008843DF">
              <w:pPr>
                <w:keepNext/>
                <w:tabs>
                  <w:tab w:val="left" w:pos="0"/>
                  <w:tab w:val="left" w:pos="709"/>
                </w:tabs>
                <w:overflowPunct w:val="0"/>
                <w:spacing w:line="276" w:lineRule="auto"/>
                <w:ind w:firstLine="1134"/>
                <w:jc w:val="both"/>
                <w:outlineLvl w:val="2"/>
                <w:rPr>
                  <w:color w:val="000000"/>
                  <w:szCs w:val="24"/>
                </w:rPr>
              </w:pPr>
              <w:r>
                <w:rPr>
                  <w:color w:val="000000"/>
                  <w:szCs w:val="24"/>
                </w:rPr>
                <w:t>Vadovaudamasis Projektų administravimo</w:t>
              </w:r>
              <w:r>
                <w:rPr>
                  <w:color w:val="000000"/>
                  <w:szCs w:val="24"/>
                </w:rPr>
                <w:t xml:space="preserve"> ir finansavimo taisyklių, patvirtintų Lietuvos Respublikos Vyriausybės 2007 m. gruodžio 19 d. nutarimu Nr. 1443 „Dėl Projektų administravimo ir finansavimo taisyklių patvirtinimo“, 29.1 papunkčiu,</w:t>
              </w:r>
            </w:p>
          </w:sdtContent>
        </w:sdt>
        <w:sdt>
          <w:sdtPr>
            <w:rPr>
              <w:color w:val="000000"/>
              <w:szCs w:val="24"/>
            </w:rPr>
            <w:alias w:val="pastraipa"/>
            <w:tag w:val="part_7beb9bf40528405d9b0aaa8d31187cfe"/>
            <w:id w:val="-1630773665"/>
            <w:lock w:val="sdtLocked"/>
            <w:placeholder>
              <w:docPart w:val="DefaultPlaceholder_1082065158"/>
            </w:placeholder>
          </w:sdtPr>
          <w:sdtContent>
            <w:p w14:paraId="6F0E0530" w14:textId="467D4902" w:rsidR="00044D13" w:rsidRDefault="008843DF">
              <w:pPr>
                <w:suppressAutoHyphens/>
                <w:overflowPunct w:val="0"/>
                <w:spacing w:line="276" w:lineRule="auto"/>
                <w:ind w:firstLine="1134"/>
                <w:jc w:val="both"/>
                <w:rPr>
                  <w:color w:val="000000"/>
                  <w:szCs w:val="24"/>
                </w:rPr>
              </w:pPr>
              <w:r>
                <w:rPr>
                  <w:color w:val="000000"/>
                  <w:szCs w:val="24"/>
                </w:rPr>
                <w:t xml:space="preserve">p a k e i č i u  2007–2013 m. Žmogiškųjų išteklių plėtros </w:t>
              </w:r>
              <w:r>
                <w:rPr>
                  <w:color w:val="000000"/>
                  <w:szCs w:val="24"/>
                </w:rPr>
                <w:t>veiksmų programos 2 prioriteto „Mokymasis visą gyvenimą“ VP1-2.2-ŠMM-01-V priemonės „</w:t>
              </w:r>
              <w:r>
                <w:rPr>
                  <w:bCs/>
                  <w:color w:val="000000"/>
                  <w:szCs w:val="24"/>
                </w:rPr>
                <w:t>Studijas reglamentuojančių</w:t>
              </w:r>
              <w:bookmarkStart w:id="0" w:name="_GoBack"/>
              <w:bookmarkEnd w:id="0"/>
              <w:r>
                <w:rPr>
                  <w:bCs/>
                  <w:color w:val="000000"/>
                  <w:szCs w:val="24"/>
                </w:rPr>
                <w:t xml:space="preserve"> aprašų rengimas ar atnaujinimas, atsižvelgiant į naujus kokybinius reikalavimus</w:t>
              </w:r>
              <w:r>
                <w:rPr>
                  <w:color w:val="000000"/>
                  <w:szCs w:val="24"/>
                </w:rPr>
                <w:t>“ projektų finansavimo sąlygų aprašo, patvirtinto Lietuvos Respub</w:t>
              </w:r>
              <w:r>
                <w:rPr>
                  <w:color w:val="000000"/>
                  <w:szCs w:val="24"/>
                </w:rPr>
                <w:t>likos švietimo ir mokslo ministro 2009 m. kovo 9 d. įsakymu Nr. ISAK-465 „</w:t>
              </w:r>
              <w:r>
                <w:rPr>
                  <w:bCs/>
                  <w:color w:val="000000"/>
                  <w:szCs w:val="24"/>
                </w:rPr>
                <w:t xml:space="preserve">Dėl 2007–2013 m. Žmogiškųjų išteklių plėtros veiksmų programos 2 prioriteto „Mokymasis visą gyvenimą“ </w:t>
              </w:r>
              <w:r>
                <w:rPr>
                  <w:color w:val="000000"/>
                  <w:szCs w:val="24"/>
                </w:rPr>
                <w:t xml:space="preserve">VP1-2.2-ŠMM-01-V </w:t>
              </w:r>
              <w:r>
                <w:rPr>
                  <w:bCs/>
                  <w:color w:val="000000"/>
                  <w:szCs w:val="24"/>
                </w:rPr>
                <w:t>priemonės „Studijas reglamentuojančių aprašų rengimas ar atnauj</w:t>
              </w:r>
              <w:r>
                <w:rPr>
                  <w:bCs/>
                  <w:color w:val="000000"/>
                  <w:szCs w:val="24"/>
                </w:rPr>
                <w:t>inimas, atsižvelgiant į naujus kokybinius reikalavimus</w:t>
              </w:r>
              <w:r>
                <w:rPr>
                  <w:color w:val="000000"/>
                  <w:szCs w:val="24"/>
                </w:rPr>
                <w:t>“ 2 priedo produkto rodiklio 3 pastraipą ir ją išdėstau taip:</w:t>
              </w:r>
            </w:p>
          </w:sdtContent>
        </w:sdt>
        <w:sdt>
          <w:sdtPr>
            <w:rPr>
              <w:color w:val="000000"/>
              <w:szCs w:val="24"/>
            </w:rPr>
            <w:alias w:val="pastraipa"/>
            <w:tag w:val="part_dac67f263f964c80beef4c68b8aad83a"/>
            <w:id w:val="461245951"/>
            <w:lock w:val="sdtLocked"/>
            <w:placeholder>
              <w:docPart w:val="DefaultPlaceholder_1082065158"/>
            </w:placeholder>
          </w:sdtPr>
          <w:sdtEndPr>
            <w:rPr>
              <w:color w:val="auto"/>
              <w:szCs w:val="20"/>
            </w:rPr>
          </w:sdtEndPr>
          <w:sdtContent>
            <w:p w14:paraId="1D65B039" w14:textId="1CC35C7A" w:rsidR="00044D13" w:rsidRDefault="00044D13">
              <w:pPr>
                <w:suppressAutoHyphens/>
                <w:overflowPunct w:val="0"/>
                <w:spacing w:line="276" w:lineRule="auto"/>
                <w:ind w:firstLine="1134"/>
                <w:jc w:val="both"/>
                <w:rPr>
                  <w:color w:val="000000"/>
                  <w:szCs w:val="24"/>
                </w:rPr>
              </w:pPr>
            </w:p>
            <w:tbl>
              <w:tblPr>
                <w:tblW w:w="9639" w:type="dxa"/>
                <w:tblInd w:w="108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127"/>
                <w:gridCol w:w="1843"/>
                <w:gridCol w:w="2268"/>
                <w:gridCol w:w="1700"/>
                <w:gridCol w:w="851"/>
                <w:gridCol w:w="850"/>
              </w:tblGrid>
              <w:tr w:rsidR="00044D13" w14:paraId="6F0E0548" w14:textId="77777777">
                <w:tc>
                  <w:tcPr>
                    <w:tcW w:w="21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F0E0531" w14:textId="2B831D30" w:rsidR="00044D13" w:rsidRDefault="008843DF">
                    <w:pPr>
                      <w:suppressAutoHyphens/>
                      <w:overflowPunct w:val="0"/>
                      <w:spacing w:line="276" w:lineRule="auto"/>
                      <w:jc w:val="both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„</w:t>
                    </w:r>
                    <w:r>
                      <w:rPr>
                        <w:rFonts w:eastAsia="Arial Unicode MS"/>
                        <w:sz w:val="20"/>
                      </w:rPr>
                      <w:t>Parengti arba atnaujinti studijas reglamentuojantys aprašai</w:t>
                    </w:r>
                  </w:p>
                  <w:p w14:paraId="73690C69" w14:textId="200E1C2C" w:rsidR="00044D13" w:rsidRDefault="00044D13">
                    <w:pPr>
                      <w:tabs>
                        <w:tab w:val="left" w:pos="6554"/>
                      </w:tabs>
                      <w:ind w:firstLine="6554"/>
                      <w:rPr>
                        <w:szCs w:val="24"/>
                      </w:rPr>
                    </w:pPr>
                  </w:p>
                </w:tc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0E0532" w14:textId="77777777" w:rsidR="00044D13" w:rsidRDefault="008843DF">
                    <w:pPr>
                      <w:overflowPunct w:val="0"/>
                      <w:spacing w:line="276" w:lineRule="auto"/>
                      <w:rPr>
                        <w:rFonts w:eastAsia="Arial Unicode MS"/>
                        <w:sz w:val="20"/>
                      </w:rPr>
                    </w:pPr>
                    <w:r>
                      <w:rPr>
                        <w:rFonts w:eastAsia="Arial Unicode MS"/>
                        <w:sz w:val="20"/>
                      </w:rPr>
                      <w:t xml:space="preserve">Studijas reglamentuojantys aprašai – tai dokumentai, kuriuose nustatomi </w:t>
                    </w:r>
                    <w:r>
                      <w:rPr>
                        <w:rFonts w:eastAsia="Arial Unicode MS"/>
                        <w:sz w:val="20"/>
                      </w:rPr>
                      <w:t>bendrieji arba specialieji studijų programų reikalavimai.</w:t>
                    </w:r>
                  </w:p>
                  <w:p w14:paraId="6F0E0533" w14:textId="77777777" w:rsidR="00044D13" w:rsidRDefault="00044D13">
                    <w:pPr>
                      <w:overflowPunct w:val="0"/>
                      <w:spacing w:line="276" w:lineRule="auto"/>
                      <w:rPr>
                        <w:rFonts w:eastAsia="Arial Unicode MS"/>
                        <w:sz w:val="20"/>
                      </w:rPr>
                    </w:pPr>
                  </w:p>
                  <w:p w14:paraId="6F0E0534" w14:textId="77777777" w:rsidR="00044D13" w:rsidRDefault="008843DF">
                    <w:pPr>
                      <w:overflowPunct w:val="0"/>
                      <w:spacing w:line="276" w:lineRule="auto"/>
                      <w:rPr>
                        <w:rFonts w:eastAsia="Arial Unicode MS"/>
                        <w:sz w:val="20"/>
                      </w:rPr>
                    </w:pPr>
                    <w:r>
                      <w:rPr>
                        <w:rFonts w:eastAsia="Arial Unicode MS"/>
                        <w:sz w:val="20"/>
                      </w:rPr>
                      <w:t>Bendrieji reikalavimai – tai tam tikros pakopos studijų nuostatos.</w:t>
                    </w:r>
                  </w:p>
                  <w:p w14:paraId="6F0E0535" w14:textId="77777777" w:rsidR="00044D13" w:rsidRDefault="00044D13">
                    <w:pPr>
                      <w:overflowPunct w:val="0"/>
                      <w:spacing w:line="276" w:lineRule="auto"/>
                      <w:rPr>
                        <w:rFonts w:eastAsia="Arial Unicode MS"/>
                        <w:sz w:val="20"/>
                      </w:rPr>
                    </w:pPr>
                  </w:p>
                  <w:p w14:paraId="6F0E0536" w14:textId="77777777" w:rsidR="00044D13" w:rsidRDefault="008843DF">
                    <w:pPr>
                      <w:overflowPunct w:val="0"/>
                      <w:spacing w:line="276" w:lineRule="auto"/>
                      <w:rPr>
                        <w:rFonts w:eastAsia="Arial Unicode MS"/>
                        <w:sz w:val="20"/>
                      </w:rPr>
                    </w:pPr>
                    <w:r>
                      <w:rPr>
                        <w:rFonts w:eastAsia="Arial Unicode MS"/>
                        <w:sz w:val="20"/>
                      </w:rPr>
                      <w:t xml:space="preserve">Specialieji reikalavimai – tai tam tikros krypties (ar krypčių grupės, </w:t>
                    </w:r>
                    <w:r>
                      <w:rPr>
                        <w:rFonts w:eastAsia="Arial Unicode MS"/>
                        <w:sz w:val="20"/>
                      </w:rPr>
                      <w:lastRenderedPageBreak/>
                      <w:t>ar srities) studijų nuostatos.</w:t>
                    </w:r>
                  </w:p>
                  <w:p w14:paraId="6F0E0537" w14:textId="77777777" w:rsidR="00044D13" w:rsidRDefault="00044D13">
                    <w:pPr>
                      <w:overflowPunct w:val="0"/>
                      <w:spacing w:line="276" w:lineRule="auto"/>
                      <w:rPr>
                        <w:rFonts w:eastAsia="Arial Unicode MS"/>
                        <w:sz w:val="20"/>
                      </w:rPr>
                    </w:pPr>
                  </w:p>
                  <w:p w14:paraId="6F0E0538" w14:textId="77777777" w:rsidR="00044D13" w:rsidRDefault="008843DF">
                    <w:pPr>
                      <w:suppressAutoHyphens/>
                      <w:overflowPunct w:val="0"/>
                      <w:spacing w:line="276" w:lineRule="auto"/>
                      <w:jc w:val="both"/>
                      <w:rPr>
                        <w:szCs w:val="24"/>
                      </w:rPr>
                    </w:pPr>
                    <w:r>
                      <w:rPr>
                        <w:rFonts w:eastAsia="Arial Unicode MS"/>
                        <w:sz w:val="20"/>
                      </w:rPr>
                      <w:t xml:space="preserve">Aprašai yra rengiami arba </w:t>
                    </w:r>
                    <w:r>
                      <w:rPr>
                        <w:rFonts w:eastAsia="Arial Unicode MS"/>
                        <w:sz w:val="20"/>
                      </w:rPr>
                      <w:t>atnaujinami vadovaujantis Švietimo ir mokslo ministerijos patvirtinta studijų pakopos arba studijų krypties aprašo sandara.</w:t>
                    </w:r>
                  </w:p>
                </w:tc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0E0539" w14:textId="77777777" w:rsidR="00044D13" w:rsidRDefault="008843DF">
                    <w:pPr>
                      <w:overflowPunct w:val="0"/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lastRenderedPageBreak/>
                      <w:t xml:space="preserve">Skaičiuojami parengti arba atnaujinti studijas </w:t>
                    </w:r>
                    <w:r>
                      <w:rPr>
                        <w:rFonts w:eastAsia="Arial Unicode MS"/>
                        <w:sz w:val="20"/>
                      </w:rPr>
                      <w:t xml:space="preserve">reglamentuojantys aprašai </w:t>
                    </w:r>
                    <w:r>
                      <w:rPr>
                        <w:sz w:val="20"/>
                      </w:rPr>
                      <w:t>(vnt.).</w:t>
                    </w:r>
                  </w:p>
                  <w:p w14:paraId="6F0E053A" w14:textId="77777777" w:rsidR="00044D13" w:rsidRDefault="00044D13">
                    <w:pPr>
                      <w:overflowPunct w:val="0"/>
                      <w:spacing w:line="276" w:lineRule="auto"/>
                      <w:rPr>
                        <w:sz w:val="20"/>
                      </w:rPr>
                    </w:pPr>
                  </w:p>
                  <w:p w14:paraId="6F0E053B" w14:textId="77777777" w:rsidR="00044D13" w:rsidRDefault="008843DF">
                    <w:pPr>
                      <w:overflowPunct w:val="0"/>
                      <w:spacing w:line="276" w:lineRule="auto"/>
                      <w:rPr>
                        <w:rFonts w:eastAsia="Arial Unicode MS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Rodiklis laikomas pasiektu, kai </w:t>
                    </w:r>
                    <w:r>
                      <w:rPr>
                        <w:rFonts w:eastAsia="Arial Unicode MS"/>
                        <w:sz w:val="20"/>
                      </w:rPr>
                      <w:t>Švietimo ir mokslo</w:t>
                    </w:r>
                    <w:r>
                      <w:rPr>
                        <w:rFonts w:eastAsia="Arial Unicode MS"/>
                        <w:sz w:val="20"/>
                      </w:rPr>
                      <w:t xml:space="preserve"> ministerijai pateikiamas svarstyti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eastAsia="Arial Unicode MS"/>
                        <w:sz w:val="20"/>
                      </w:rPr>
                      <w:t xml:space="preserve">ir, vadovaujantis </w:t>
                    </w:r>
                  </w:p>
                  <w:p w14:paraId="6F0E053C" w14:textId="77777777" w:rsidR="00044D13" w:rsidRDefault="008843DF">
                    <w:pPr>
                      <w:overflowPunct w:val="0"/>
                      <w:spacing w:line="276" w:lineRule="auto"/>
                      <w:rPr>
                        <w:szCs w:val="24"/>
                      </w:rPr>
                    </w:pPr>
                    <w:r>
                      <w:rPr>
                        <w:sz w:val="20"/>
                      </w:rPr>
                      <w:t xml:space="preserve">Lietuvos Respublikos švietimo ir mokslo ministro 2011 m. gruodžio 15 d. įsakymu Nr. V-2463 „Dėl Studijų krypties arba krypčių grupės aprašo rengimo rekomendacijų patvirtinimo“ </w:t>
                    </w:r>
                    <w:r>
                      <w:rPr>
                        <w:sz w:val="20"/>
                      </w:rPr>
                      <w:lastRenderedPageBreak/>
                      <w:t>patvirtintomis studijų kr</w:t>
                    </w:r>
                    <w:r>
                      <w:rPr>
                        <w:sz w:val="20"/>
                      </w:rPr>
                      <w:t xml:space="preserve">ypties arba krypčių grupės aprašo rengimo rekomendacijomis, </w:t>
                    </w:r>
                    <w:r>
                      <w:rPr>
                        <w:rFonts w:eastAsia="Arial Unicode MS"/>
                        <w:sz w:val="20"/>
                      </w:rPr>
                      <w:t>nuolatinėje Studijų krypčių aprašų rengimo valdymo grupėje yra apsvarstoma ir pritariama</w:t>
                    </w:r>
                    <w:r>
                      <w:rPr>
                        <w:sz w:val="20"/>
                      </w:rPr>
                      <w:t xml:space="preserve"> naujai parengtam arba atnaujintam tam tikros </w:t>
                    </w:r>
                    <w:r>
                      <w:rPr>
                        <w:rFonts w:eastAsia="Arial Unicode MS"/>
                        <w:sz w:val="20"/>
                      </w:rPr>
                      <w:t>pakopos arba krypties (ar krypčių grupės, ar srities) studijas</w:t>
                    </w:r>
                    <w:r>
                      <w:rPr>
                        <w:rFonts w:eastAsia="Arial Unicode MS"/>
                        <w:sz w:val="20"/>
                      </w:rPr>
                      <w:t xml:space="preserve"> reglamentuojančio aprašo projektui.</w:t>
                    </w:r>
                  </w:p>
                </w:tc>
                <w:tc>
                  <w:tcPr>
                    <w:tcW w:w="17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0E053D" w14:textId="77777777" w:rsidR="00044D13" w:rsidRDefault="008843DF">
                    <w:pPr>
                      <w:overflowPunct w:val="0"/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lastRenderedPageBreak/>
                      <w:t>Pirminiai informacijos šaltiniai:</w:t>
                    </w:r>
                    <w:r>
                      <w:rPr>
                        <w:rFonts w:eastAsia="Arial Unicode MS"/>
                        <w:sz w:val="20"/>
                      </w:rPr>
                      <w:t xml:space="preserve"> nuolatinės Studijų krypčių aprašų rengimo valdymo grupės protokolo išrašas arba protokolo kopija dėl </w:t>
                    </w:r>
                    <w:r>
                      <w:rPr>
                        <w:sz w:val="20"/>
                      </w:rPr>
                      <w:t xml:space="preserve">parengto arba atnaujinto studijas </w:t>
                    </w:r>
                    <w:r>
                      <w:rPr>
                        <w:rFonts w:eastAsia="Arial Unicode MS"/>
                        <w:sz w:val="20"/>
                      </w:rPr>
                      <w:t>reglamentuojančio aprašo projekto pritarimo.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14:paraId="6F0E053E" w14:textId="77777777" w:rsidR="00044D13" w:rsidRDefault="00044D13">
                    <w:pPr>
                      <w:overflowPunct w:val="0"/>
                      <w:spacing w:line="276" w:lineRule="auto"/>
                      <w:rPr>
                        <w:sz w:val="20"/>
                      </w:rPr>
                    </w:pPr>
                  </w:p>
                  <w:p w14:paraId="6F0E053F" w14:textId="77777777" w:rsidR="00044D13" w:rsidRDefault="008843DF">
                    <w:pPr>
                      <w:suppressAutoHyphens/>
                      <w:overflowPunct w:val="0"/>
                      <w:spacing w:line="276" w:lineRule="auto"/>
                      <w:jc w:val="both"/>
                      <w:rPr>
                        <w:szCs w:val="24"/>
                      </w:rPr>
                    </w:pPr>
                    <w:r>
                      <w:rPr>
                        <w:sz w:val="20"/>
                      </w:rPr>
                      <w:t>Ant</w:t>
                    </w:r>
                    <w:r>
                      <w:rPr>
                        <w:sz w:val="20"/>
                      </w:rPr>
                      <w:t xml:space="preserve">riniai informacijos šaltiniai: mokėjimo </w:t>
                    </w:r>
                    <w:r>
                      <w:rPr>
                        <w:sz w:val="20"/>
                      </w:rPr>
                      <w:lastRenderedPageBreak/>
                      <w:t>prašymai.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0E0540" w14:textId="77777777" w:rsidR="00044D13" w:rsidRDefault="00044D13">
                    <w:pPr>
                      <w:rPr>
                        <w:sz w:val="10"/>
                        <w:szCs w:val="10"/>
                      </w:rPr>
                    </w:pPr>
                  </w:p>
                  <w:p w14:paraId="6F0E0541" w14:textId="77777777" w:rsidR="00044D13" w:rsidRDefault="008843DF">
                    <w:pPr>
                      <w:overflowPunct w:val="0"/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Rodiklis matuojamas nuolat.</w:t>
                    </w:r>
                  </w:p>
                  <w:p w14:paraId="6F0E0542" w14:textId="77777777" w:rsidR="00044D13" w:rsidRDefault="00044D13">
                    <w:pPr>
                      <w:rPr>
                        <w:sz w:val="10"/>
                        <w:szCs w:val="10"/>
                      </w:rPr>
                    </w:pPr>
                  </w:p>
                  <w:p w14:paraId="6F0E0543" w14:textId="77777777" w:rsidR="00044D13" w:rsidRDefault="008843DF">
                    <w:pPr>
                      <w:overflowPunct w:val="0"/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Duomenys renkami 1 kartą per ketvirtį pagal mokėjimo prašymų teikimo </w:t>
                    </w:r>
                    <w:r>
                      <w:rPr>
                        <w:sz w:val="20"/>
                      </w:rPr>
                      <w:lastRenderedPageBreak/>
                      <w:t>periodiškumą.</w:t>
                    </w:r>
                  </w:p>
                  <w:p w14:paraId="6F0E0544" w14:textId="77777777" w:rsidR="00044D13" w:rsidRDefault="00044D13">
                    <w:pPr>
                      <w:rPr>
                        <w:sz w:val="10"/>
                        <w:szCs w:val="10"/>
                      </w:rPr>
                    </w:pPr>
                  </w:p>
                  <w:p w14:paraId="6F0E0545" w14:textId="77777777" w:rsidR="00044D13" w:rsidRDefault="00044D13">
                    <w:pPr>
                      <w:suppressAutoHyphens/>
                      <w:overflowPunct w:val="0"/>
                      <w:spacing w:line="276" w:lineRule="auto"/>
                      <w:jc w:val="both"/>
                      <w:rPr>
                        <w:color w:val="000000"/>
                        <w:szCs w:val="24"/>
                      </w:rPr>
                    </w:pP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0E0546" w14:textId="77777777" w:rsidR="00044D13" w:rsidRDefault="008843DF">
                    <w:pPr>
                      <w:overflowPunct w:val="0"/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lastRenderedPageBreak/>
                      <w:t>Už rodiklio pasiekimą atsakingas projekto vykdytojas</w:t>
                    </w:r>
                    <w:r>
                      <w:rPr>
                        <w:color w:val="000000"/>
                        <w:szCs w:val="24"/>
                      </w:rPr>
                      <w:t>“</w:t>
                    </w:r>
                  </w:p>
                  <w:p w14:paraId="6F0E0547" w14:textId="77777777" w:rsidR="00044D13" w:rsidRDefault="00044D13">
                    <w:pPr>
                      <w:suppressAutoHyphens/>
                      <w:overflowPunct w:val="0"/>
                      <w:spacing w:line="276" w:lineRule="auto"/>
                      <w:jc w:val="both"/>
                      <w:rPr>
                        <w:color w:val="000000"/>
                        <w:szCs w:val="24"/>
                      </w:rPr>
                    </w:pPr>
                  </w:p>
                </w:tc>
              </w:tr>
            </w:tbl>
            <w:p w14:paraId="6642549F" w14:textId="0B2B720F" w:rsidR="00044D13" w:rsidRDefault="008843DF">
              <w:pPr>
                <w:tabs>
                  <w:tab w:val="left" w:pos="5778"/>
                </w:tabs>
                <w:overflowPunct w:val="0"/>
                <w:spacing w:line="276" w:lineRule="auto"/>
              </w:pPr>
            </w:p>
          </w:sdtContent>
        </w:sdt>
        <w:sdt>
          <w:sdtPr>
            <w:alias w:val="signatura"/>
            <w:tag w:val="part_c48e6a490ccd4ad8b83fc36183a91cd4"/>
            <w:id w:val="1377054116"/>
            <w:lock w:val="sdtLocked"/>
          </w:sdtPr>
          <w:sdtEndPr/>
          <w:sdtContent>
            <w:p w14:paraId="4FD3C302" w14:textId="77777777" w:rsidR="008843DF" w:rsidRDefault="008843DF">
              <w:pPr>
                <w:tabs>
                  <w:tab w:val="left" w:pos="5778"/>
                </w:tabs>
                <w:overflowPunct w:val="0"/>
                <w:spacing w:line="276" w:lineRule="auto"/>
              </w:pPr>
            </w:p>
            <w:p w14:paraId="6629D9EE" w14:textId="77777777" w:rsidR="008843DF" w:rsidRDefault="008843DF">
              <w:pPr>
                <w:tabs>
                  <w:tab w:val="left" w:pos="5778"/>
                </w:tabs>
                <w:overflowPunct w:val="0"/>
                <w:spacing w:line="276" w:lineRule="auto"/>
              </w:pPr>
            </w:p>
            <w:p w14:paraId="3B0DD248" w14:textId="09ED0D74" w:rsidR="00044D13" w:rsidRDefault="008843DF">
              <w:pPr>
                <w:tabs>
                  <w:tab w:val="left" w:pos="5778"/>
                </w:tabs>
                <w:overflowPunct w:val="0"/>
                <w:spacing w:line="276" w:lineRule="auto"/>
              </w:pPr>
              <w:r>
                <w:t>Švietimo ir mokslo ministras</w:t>
              </w:r>
              <w:r>
                <w:tab/>
              </w:r>
              <w:r>
                <w:tab/>
              </w:r>
              <w:r>
                <w:tab/>
              </w:r>
              <w:r>
                <w:t>Dainius Pavalkis</w:t>
              </w:r>
            </w:p>
            <w:p w14:paraId="6F0E054E" w14:textId="534F90B9" w:rsidR="00044D13" w:rsidRDefault="008843DF">
              <w:pPr>
                <w:overflowPunct w:val="0"/>
                <w:jc w:val="both"/>
              </w:pPr>
            </w:p>
          </w:sdtContent>
        </w:sdt>
      </w:sdtContent>
    </w:sdt>
    <w:sectPr w:rsidR="00044D13">
      <w:pgSz w:w="11906" w:h="16838"/>
      <w:pgMar w:top="1134" w:right="707" w:bottom="1134" w:left="1701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E0553" w14:textId="77777777" w:rsidR="00044D13" w:rsidRDefault="008843DF">
      <w:pPr>
        <w:overflowPunct w:val="0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6F0E0554" w14:textId="77777777" w:rsidR="00044D13" w:rsidRDefault="008843DF">
      <w:pPr>
        <w:overflowPunct w:val="0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E0551" w14:textId="77777777" w:rsidR="00044D13" w:rsidRDefault="008843DF">
      <w:pPr>
        <w:overflowPunct w:val="0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6F0E0552" w14:textId="77777777" w:rsidR="00044D13" w:rsidRDefault="008843DF">
      <w:pPr>
        <w:overflowPunct w:val="0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EE"/>
    <w:rsid w:val="00044D13"/>
    <w:rsid w:val="008528EE"/>
    <w:rsid w:val="008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0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843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8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3B8DD21-1F99-4C1F-A43F-B786EFD9A73D}"/>
      </w:docPartPr>
      <w:docPartBody>
        <w:p w14:paraId="18411060" w14:textId="52574B3E" w:rsidR="00000000" w:rsidRDefault="00465A81">
          <w:r w:rsidRPr="001D7DD4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81"/>
    <w:rsid w:val="0046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65A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65A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2c3f35e2-a8bc-4376-b57c-1436ef93e44f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4.xml><?xml version="1.0" encoding="utf-8"?>
<Parts xmlns="http://lrs.lt/TAIS/DocParts">
  <Part Type="pagrindine" DocPartId="47172368208743e0892a422317ed874b" PartId="2dac8149a29a4450ab17b6cbab69fb1c">
    <Part Type="preambule" Nr="" Abbr="" Title="" Notes="" DocPartId="9bd24253dc12402c9a1f259a7b772824" PartId="edf45c77608b4d21bb029d58c4d32224"/>
    <Part Type="pastraipa" Nr="" Abbr="" Title="" Notes="" DocPartId="040e88f081da4efdb717eb456f2b7cf8" PartId="7beb9bf40528405d9b0aaa8d31187cfe"/>
    <Part Type="pastraipa" Nr="" Abbr="" Title="" Notes="" DocPartId="0261443591c740dbbc2227a8a2218696" PartId="dac67f263f964c80beef4c68b8aad83a"/>
    <Part Type="signatura" DocPartId="7f93eceb572e40898d75a4acdeb53bae" PartId="c48e6a490ccd4ad8b83fc36183a91cd4"/>
  </Part>
</Parts>
</file>

<file path=customXml/itemProps1.xml><?xml version="1.0" encoding="utf-8"?>
<ds:datastoreItem xmlns:ds="http://schemas.openxmlformats.org/officeDocument/2006/customXml" ds:itemID="{6F4D5033-C4D1-43AE-927D-D6E588633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EB28B6-0FF0-4441-AEBC-00DF2156D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B797C-7836-4ABB-9DBC-5AB85D45E689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4.xml><?xml version="1.0" encoding="utf-8"?>
<ds:datastoreItem xmlns:ds="http://schemas.openxmlformats.org/officeDocument/2006/customXml" ds:itemID="{AC84EA88-DFE0-42D6-B932-5DF48F36A2D5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1969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PFSA, rodiklio aprasymo keitimas_(galutinis).docx</dc:title>
  <dc:creator>Starkevičiūtė Gintarė</dc:creator>
  <cp:lastModifiedBy>RAKAUSKIENĖ Loreta</cp:lastModifiedBy>
  <cp:revision>3</cp:revision>
  <cp:lastPrinted>2014-09-17T07:58:00Z</cp:lastPrinted>
  <dcterms:created xsi:type="dcterms:W3CDTF">2015-05-11T08:15:00Z</dcterms:created>
  <dcterms:modified xsi:type="dcterms:W3CDTF">2015-05-11T08:21:00Z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