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42" w:rsidRDefault="00191C0E">
      <w:pPr>
        <w:tabs>
          <w:tab w:val="left" w:pos="8222"/>
        </w:tabs>
        <w:suppressAutoHyphens/>
        <w:jc w:val="center"/>
      </w:pPr>
      <w:r>
        <w:rPr>
          <w:b/>
          <w:noProof/>
          <w:lang w:eastAsia="ko-KR"/>
        </w:rPr>
        <w:drawing>
          <wp:inline distT="0" distB="0" distL="0" distR="0">
            <wp:extent cx="552450" cy="5619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E42" w:rsidRDefault="00803E42">
      <w:pPr>
        <w:tabs>
          <w:tab w:val="left" w:pos="8222"/>
        </w:tabs>
        <w:suppressAutoHyphens/>
        <w:jc w:val="center"/>
        <w:rPr>
          <w:b/>
          <w:lang w:eastAsia="zh-CN"/>
        </w:rPr>
      </w:pPr>
    </w:p>
    <w:p w:rsidR="00803E42" w:rsidRDefault="00191C0E">
      <w:pPr>
        <w:tabs>
          <w:tab w:val="left" w:pos="8222"/>
        </w:tabs>
        <w:jc w:val="center"/>
        <w:rPr>
          <w:b/>
        </w:rPr>
      </w:pPr>
      <w:r>
        <w:rPr>
          <w:b/>
        </w:rPr>
        <w:t xml:space="preserve">LIETUVOS RESPUBLIKOS </w:t>
      </w:r>
    </w:p>
    <w:p w:rsidR="00803E42" w:rsidRDefault="00191C0E">
      <w:pPr>
        <w:tabs>
          <w:tab w:val="left" w:pos="8222"/>
        </w:tabs>
        <w:jc w:val="center"/>
        <w:rPr>
          <w:b/>
        </w:rPr>
      </w:pPr>
      <w:r>
        <w:rPr>
          <w:b/>
        </w:rPr>
        <w:t>GENERALINIS PROKURORAS</w:t>
      </w:r>
    </w:p>
    <w:p w:rsidR="00803E42" w:rsidRDefault="00803E42">
      <w:pPr>
        <w:tabs>
          <w:tab w:val="left" w:pos="8222"/>
        </w:tabs>
        <w:suppressAutoHyphens/>
        <w:jc w:val="center"/>
        <w:rPr>
          <w:b/>
          <w:spacing w:val="14"/>
          <w:lang w:eastAsia="zh-CN"/>
        </w:rPr>
      </w:pPr>
    </w:p>
    <w:p w:rsidR="00803E42" w:rsidRDefault="00803E42">
      <w:pPr>
        <w:tabs>
          <w:tab w:val="left" w:pos="8222"/>
        </w:tabs>
        <w:suppressAutoHyphens/>
        <w:rPr>
          <w:b/>
          <w:bCs/>
          <w:szCs w:val="24"/>
          <w:lang w:eastAsia="zh-CN"/>
        </w:rPr>
      </w:pPr>
    </w:p>
    <w:p w:rsidR="00803E42" w:rsidRDefault="00191C0E">
      <w:pPr>
        <w:tabs>
          <w:tab w:val="left" w:pos="8222"/>
        </w:tabs>
        <w:suppressAutoHyphens/>
        <w:jc w:val="center"/>
      </w:pPr>
      <w:r>
        <w:rPr>
          <w:b/>
          <w:bCs/>
          <w:szCs w:val="24"/>
          <w:lang w:eastAsia="zh-CN"/>
        </w:rPr>
        <w:t>ĮSAKYMAS</w:t>
      </w:r>
    </w:p>
    <w:p w:rsidR="00803E42" w:rsidRDefault="00191C0E">
      <w:pPr>
        <w:tabs>
          <w:tab w:val="left" w:pos="1003"/>
          <w:tab w:val="left" w:pos="1417"/>
        </w:tabs>
        <w:suppressAutoHyphens/>
        <w:ind w:left="283" w:right="283"/>
        <w:jc w:val="center"/>
      </w:pPr>
      <w:r>
        <w:rPr>
          <w:b/>
          <w:bCs/>
          <w:szCs w:val="24"/>
          <w:lang w:eastAsia="zh-CN"/>
        </w:rPr>
        <w:t xml:space="preserve">DĖL LIETUVOS RESPUBLIKOS GENERALINIO PROKURORO </w:t>
      </w:r>
      <w:r>
        <w:rPr>
          <w:b/>
          <w:bCs/>
          <w:color w:val="000000"/>
          <w:szCs w:val="24"/>
          <w:lang w:eastAsia="zh-CN"/>
        </w:rPr>
        <w:t xml:space="preserve">2018 M. BIRŽELIO 25 D. ĮSAKYMO NR. I-207 </w:t>
      </w:r>
      <w:r>
        <w:rPr>
          <w:b/>
          <w:bCs/>
          <w:color w:val="000000"/>
          <w:szCs w:val="24"/>
          <w:lang w:eastAsia="lt-LT" w:bidi="lt-LT"/>
        </w:rPr>
        <w:t>„</w:t>
      </w:r>
      <w:r>
        <w:rPr>
          <w:b/>
          <w:caps/>
          <w:szCs w:val="24"/>
          <w:lang w:eastAsia="zh-CN"/>
        </w:rPr>
        <w:t xml:space="preserve">DĖL PRANEŠIMŲ APIE PAŽEIDIMUS ĮSTAIGOSE PATEIKIMO LIETUVOS RESPUBLIKOS PROKURATŪRAI TVARKOS Aprašo </w:t>
      </w:r>
      <w:r>
        <w:rPr>
          <w:b/>
          <w:caps/>
          <w:szCs w:val="24"/>
          <w:lang w:eastAsia="zh-CN"/>
        </w:rPr>
        <w:t>patvirtinimo</w:t>
      </w:r>
      <w:r>
        <w:rPr>
          <w:b/>
          <w:bCs/>
          <w:color w:val="000000"/>
          <w:szCs w:val="24"/>
          <w:lang w:eastAsia="lt-LT" w:bidi="lt-LT"/>
        </w:rPr>
        <w:t>“ PAKEITIMO</w:t>
      </w:r>
    </w:p>
    <w:p w:rsidR="00803E42" w:rsidRDefault="00803E42">
      <w:pPr>
        <w:tabs>
          <w:tab w:val="left" w:pos="720"/>
          <w:tab w:val="left" w:pos="1134"/>
        </w:tabs>
        <w:suppressAutoHyphens/>
        <w:rPr>
          <w:rFonts w:eastAsia="Calibri"/>
          <w:b/>
          <w:caps/>
          <w:szCs w:val="24"/>
          <w:lang w:eastAsia="zh-CN"/>
        </w:rPr>
      </w:pPr>
    </w:p>
    <w:p w:rsidR="00803E42" w:rsidRDefault="00191C0E">
      <w:pPr>
        <w:tabs>
          <w:tab w:val="left" w:pos="720"/>
          <w:tab w:val="left" w:pos="1134"/>
        </w:tabs>
        <w:suppressAutoHyphens/>
        <w:jc w:val="center"/>
      </w:pPr>
      <w:r>
        <w:rPr>
          <w:rFonts w:eastAsia="Calibri"/>
          <w:szCs w:val="24"/>
        </w:rPr>
        <w:t>2022 m. vasario 7 d. Nr. I-55</w:t>
      </w:r>
    </w:p>
    <w:p w:rsidR="00803E42" w:rsidRDefault="00191C0E">
      <w:pPr>
        <w:tabs>
          <w:tab w:val="left" w:pos="720"/>
          <w:tab w:val="left" w:pos="1134"/>
        </w:tabs>
        <w:suppressAutoHyphens/>
        <w:jc w:val="center"/>
      </w:pPr>
      <w:r>
        <w:rPr>
          <w:rFonts w:eastAsia="Calibri"/>
          <w:szCs w:val="24"/>
        </w:rPr>
        <w:t>Vilnius</w:t>
      </w:r>
    </w:p>
    <w:p w:rsidR="00803E42" w:rsidRDefault="00803E42">
      <w:pPr>
        <w:tabs>
          <w:tab w:val="left" w:pos="8245"/>
        </w:tabs>
        <w:suppressAutoHyphens/>
        <w:overflowPunct w:val="0"/>
        <w:ind w:firstLine="720"/>
        <w:jc w:val="both"/>
        <w:rPr>
          <w:szCs w:val="24"/>
          <w:lang w:eastAsia="zh-CN"/>
        </w:rPr>
      </w:pPr>
    </w:p>
    <w:p w:rsidR="00803E42" w:rsidRDefault="00803E42">
      <w:pPr>
        <w:tabs>
          <w:tab w:val="left" w:pos="8245"/>
        </w:tabs>
        <w:suppressAutoHyphens/>
        <w:overflowPunct w:val="0"/>
        <w:ind w:firstLine="720"/>
        <w:jc w:val="both"/>
        <w:rPr>
          <w:szCs w:val="24"/>
          <w:lang w:eastAsia="zh-CN"/>
        </w:rPr>
      </w:pPr>
    </w:p>
    <w:p w:rsidR="00803E42" w:rsidRDefault="00191C0E">
      <w:pPr>
        <w:tabs>
          <w:tab w:val="left" w:pos="900"/>
        </w:tabs>
        <w:suppressAutoHyphens/>
        <w:ind w:firstLine="737"/>
        <w:jc w:val="both"/>
        <w:textAlignment w:val="center"/>
      </w:pPr>
      <w:r>
        <w:rPr>
          <w:color w:val="000000"/>
          <w:szCs w:val="24"/>
          <w:lang w:eastAsia="zh-CN"/>
        </w:rPr>
        <w:t>1</w:t>
      </w:r>
      <w:r>
        <w:rPr>
          <w:color w:val="000000"/>
          <w:szCs w:val="24"/>
          <w:lang w:eastAsia="zh-CN"/>
        </w:rPr>
        <w:t xml:space="preserve">. P </w:t>
      </w:r>
      <w:proofErr w:type="spellStart"/>
      <w:r>
        <w:rPr>
          <w:color w:val="000000"/>
          <w:spacing w:val="60"/>
          <w:szCs w:val="24"/>
          <w:lang w:eastAsia="zh-CN"/>
        </w:rPr>
        <w:t>akeiči</w:t>
      </w:r>
      <w:r>
        <w:rPr>
          <w:color w:val="000000"/>
          <w:szCs w:val="24"/>
          <w:lang w:eastAsia="zh-CN"/>
        </w:rPr>
        <w:t>u</w:t>
      </w:r>
      <w:proofErr w:type="spellEnd"/>
      <w:r>
        <w:rPr>
          <w:rFonts w:ascii="Times New Roman;serif" w:hAnsi="Times New Roman;serif"/>
          <w:color w:val="000000"/>
          <w:szCs w:val="24"/>
          <w:lang w:eastAsia="zh-CN"/>
        </w:rPr>
        <w:t xml:space="preserve">  </w:t>
      </w:r>
      <w:r>
        <w:rPr>
          <w:rFonts w:ascii="Times New Roman;serif" w:eastAsia="SimSun" w:hAnsi="Times New Roman;serif"/>
          <w:color w:val="000000"/>
          <w:szCs w:val="24"/>
          <w:lang w:eastAsia="zh-CN" w:bidi="hi-IN"/>
        </w:rPr>
        <w:t>Pranešimų apie pažeidimus įstaigose pateikimo L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 xml:space="preserve">ietuvos Respublikos prokuratūrai tvarkos aprašą, </w:t>
      </w:r>
      <w:r>
        <w:rPr>
          <w:rFonts w:ascii="Times New Roman;serif" w:hAnsi="Times New Roman;serif"/>
          <w:color w:val="000000"/>
          <w:szCs w:val="24"/>
          <w:lang w:eastAsia="zh-CN"/>
        </w:rPr>
        <w:t xml:space="preserve">patvirtintą </w:t>
      </w:r>
      <w:r>
        <w:rPr>
          <w:color w:val="000000"/>
          <w:szCs w:val="24"/>
          <w:lang w:eastAsia="zh-CN"/>
        </w:rPr>
        <w:t xml:space="preserve">Lietuvos Respublikos generalinio prokuroro 2018 m. birželio 25 d. </w:t>
      </w:r>
      <w:r>
        <w:rPr>
          <w:color w:val="000000"/>
          <w:szCs w:val="24"/>
          <w:lang w:eastAsia="zh-CN"/>
        </w:rPr>
        <w:t>įsakymu Nr. I-207 „Dėl P</w:t>
      </w:r>
      <w:r>
        <w:rPr>
          <w:rFonts w:ascii="Times New Roman;serif" w:eastAsia="SimSun" w:hAnsi="Times New Roman;serif"/>
          <w:color w:val="000000"/>
          <w:szCs w:val="24"/>
          <w:lang w:eastAsia="zh-CN" w:bidi="hi-IN"/>
        </w:rPr>
        <w:t>ranešimų apie pažeidimus įstaigose pateikimo L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ietuvos Respublikos prokuratūrai tvarkos aprašo</w:t>
      </w:r>
      <w:r>
        <w:rPr>
          <w:color w:val="000000"/>
          <w:szCs w:val="24"/>
          <w:lang w:eastAsia="zh-CN"/>
        </w:rPr>
        <w:t xml:space="preserve"> patvirtinimo“:</w:t>
      </w:r>
    </w:p>
    <w:p w:rsidR="00803E42" w:rsidRDefault="00191C0E">
      <w:pPr>
        <w:tabs>
          <w:tab w:val="left" w:pos="900"/>
        </w:tabs>
        <w:suppressAutoHyphens/>
        <w:ind w:firstLine="737"/>
        <w:jc w:val="both"/>
        <w:textAlignment w:val="center"/>
      </w:pPr>
      <w:r>
        <w:rPr>
          <w:color w:val="000000"/>
          <w:szCs w:val="24"/>
          <w:lang w:eastAsia="zh-CN"/>
        </w:rPr>
        <w:t>1.1</w:t>
      </w:r>
      <w:r>
        <w:rPr>
          <w:color w:val="000000"/>
          <w:szCs w:val="24"/>
          <w:lang w:eastAsia="zh-CN"/>
        </w:rPr>
        <w:t>. Pakeičiu 4.1 papunktį ir jį išdėstau taip:</w:t>
      </w:r>
    </w:p>
    <w:p w:rsidR="00803E42" w:rsidRDefault="00191C0E">
      <w:pPr>
        <w:suppressAutoHyphens/>
        <w:ind w:firstLine="737"/>
        <w:jc w:val="both"/>
      </w:pPr>
      <w:r>
        <w:rPr>
          <w:color w:val="000000"/>
          <w:szCs w:val="24"/>
          <w:lang w:eastAsia="zh-CN" w:bidi="hi-IN"/>
        </w:rPr>
        <w:t>„</w:t>
      </w:r>
      <w:r>
        <w:rPr>
          <w:color w:val="000000"/>
          <w:szCs w:val="24"/>
          <w:lang w:eastAsia="zh-CN" w:bidi="hi-IN"/>
        </w:rPr>
        <w:t>4.1</w:t>
      </w:r>
      <w:r>
        <w:rPr>
          <w:color w:val="000000"/>
          <w:szCs w:val="24"/>
          <w:lang w:eastAsia="zh-CN" w:bidi="hi-IN"/>
        </w:rPr>
        <w:t xml:space="preserve">. </w:t>
      </w:r>
      <w:r>
        <w:rPr>
          <w:rFonts w:eastAsia="SimSun"/>
          <w:b/>
          <w:bCs/>
          <w:color w:val="000000"/>
          <w:szCs w:val="24"/>
          <w:lang w:eastAsia="zh-CN" w:bidi="hi-IN"/>
        </w:rPr>
        <w:t>Asmuo, teikiantis informaciją apie pažeidimą</w:t>
      </w:r>
      <w:r>
        <w:rPr>
          <w:rFonts w:eastAsia="SimSun"/>
          <w:color w:val="000000"/>
          <w:szCs w:val="24"/>
          <w:lang w:eastAsia="zh-CN" w:bidi="hi-IN"/>
        </w:rPr>
        <w:t xml:space="preserve"> – asmuo, pateikianti</w:t>
      </w:r>
      <w:r>
        <w:rPr>
          <w:rFonts w:eastAsia="SimSun"/>
          <w:color w:val="000000"/>
          <w:szCs w:val="24"/>
          <w:lang w:eastAsia="zh-CN" w:bidi="hi-IN"/>
        </w:rPr>
        <w:t xml:space="preserve">s prokuratūrai, kaip kompetentingai institucijai, informaciją </w:t>
      </w:r>
      <w:r>
        <w:rPr>
          <w:rFonts w:ascii="Times New Roman;serif" w:eastAsia="SimSun" w:hAnsi="Times New Roman;serif"/>
          <w:color w:val="000000"/>
          <w:szCs w:val="24"/>
          <w:lang w:eastAsia="zh-CN" w:bidi="hi-IN"/>
        </w:rPr>
        <w:t>apie pažeidimą įstaigoje, apie kurį sužinojo iš savo turimų ar turėtų tarnybos, darbo ar sutartinių (konsultavimo, rangos, subrangos, stažuotės, praktikos, savanoriškos veiklos ir pan.) santykių</w:t>
      </w:r>
      <w:r>
        <w:rPr>
          <w:rFonts w:ascii="Times New Roman;serif" w:eastAsia="SimSun" w:hAnsi="Times New Roman;serif"/>
          <w:color w:val="000000"/>
          <w:szCs w:val="24"/>
          <w:lang w:eastAsia="zh-CN" w:bidi="hi-IN"/>
        </w:rPr>
        <w:t xml:space="preserve"> su šia įstaiga arba įdarbinimo ar kitų </w:t>
      </w:r>
      <w:proofErr w:type="spellStart"/>
      <w:r>
        <w:rPr>
          <w:rFonts w:ascii="Times New Roman;serif" w:eastAsia="SimSun" w:hAnsi="Times New Roman;serif"/>
          <w:color w:val="000000"/>
          <w:szCs w:val="24"/>
          <w:lang w:eastAsia="zh-CN" w:bidi="hi-IN"/>
        </w:rPr>
        <w:t>ikisutartinių</w:t>
      </w:r>
      <w:proofErr w:type="spellEnd"/>
      <w:r>
        <w:rPr>
          <w:rFonts w:ascii="Times New Roman;serif" w:eastAsia="SimSun" w:hAnsi="Times New Roman;serif"/>
          <w:color w:val="000000"/>
          <w:szCs w:val="24"/>
          <w:lang w:eastAsia="zh-CN" w:bidi="hi-IN"/>
        </w:rPr>
        <w:t xml:space="preserve"> santykių metu, taip pat informaciją apie pažeidimą pateikiantis savarankiškai dirbančio asmens statusą turintis asmuo, akcininkas ar asmuo, priklausantis įmonės administraciniam, valdymo ar priežiūros o</w:t>
      </w:r>
      <w:r>
        <w:rPr>
          <w:rFonts w:ascii="Times New Roman;serif" w:eastAsia="SimSun" w:hAnsi="Times New Roman;serif"/>
          <w:color w:val="000000"/>
          <w:szCs w:val="24"/>
          <w:lang w:eastAsia="zh-CN" w:bidi="hi-IN"/>
        </w:rPr>
        <w:t>rganui (įskaitant vykdomųjų galių neturinčius narius, taip pat savanorius ir apmokamus ar neapmokamus stažuotojus), arba bet kuris fizinis asmuo, dirbantis prižiūrint ir vadovaujant rangovams, subrangovams ir (ar) tiekėjams.“</w:t>
      </w:r>
      <w:r>
        <w:rPr>
          <w:rFonts w:eastAsia="SimSun"/>
          <w:color w:val="000000"/>
          <w:szCs w:val="24"/>
          <w:lang w:eastAsia="zh-CN" w:bidi="hi-IN"/>
        </w:rPr>
        <w:t xml:space="preserve"> 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eastAsia="SimSun" w:cs="Mangal"/>
          <w:color w:val="000000"/>
          <w:szCs w:val="24"/>
          <w:lang w:eastAsia="lt-LT" w:bidi="hi-IN"/>
        </w:rPr>
        <w:t>1.2</w:t>
      </w:r>
      <w:r>
        <w:rPr>
          <w:rFonts w:eastAsia="SimSun" w:cs="Mangal"/>
          <w:color w:val="000000"/>
          <w:szCs w:val="24"/>
          <w:lang w:eastAsia="lt-LT" w:bidi="hi-IN"/>
        </w:rPr>
        <w:t xml:space="preserve">. </w:t>
      </w:r>
      <w:r>
        <w:rPr>
          <w:rFonts w:eastAsia="SimSun" w:cs="Mangal"/>
          <w:color w:val="000000"/>
          <w:szCs w:val="24"/>
          <w:lang w:eastAsia="zh-CN" w:bidi="hi-IN"/>
        </w:rPr>
        <w:t xml:space="preserve">Pakeičiu 9 </w:t>
      </w:r>
      <w:r>
        <w:rPr>
          <w:rFonts w:eastAsia="SimSun" w:cs="Mangal"/>
          <w:color w:val="000000"/>
          <w:szCs w:val="24"/>
          <w:lang w:eastAsia="zh-CN" w:bidi="hi-IN"/>
        </w:rPr>
        <w:t>punktą ir jį išdėstau taip: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eastAsia="SimSun" w:cs="Mangal"/>
          <w:color w:val="000000"/>
          <w:szCs w:val="24"/>
          <w:lang w:eastAsia="zh-CN" w:bidi="hi-IN"/>
        </w:rPr>
        <w:t>„</w:t>
      </w:r>
      <w:r>
        <w:rPr>
          <w:rFonts w:eastAsia="SimSun" w:cs="Mangal"/>
          <w:color w:val="000000"/>
          <w:szCs w:val="24"/>
          <w:lang w:eastAsia="zh-CN" w:bidi="hi-IN"/>
        </w:rPr>
        <w:t>9</w:t>
      </w:r>
      <w:r>
        <w:rPr>
          <w:rFonts w:eastAsia="SimSun" w:cs="Mangal"/>
          <w:color w:val="000000"/>
          <w:szCs w:val="24"/>
          <w:lang w:eastAsia="zh-CN" w:bidi="hi-IN"/>
        </w:rPr>
        <w:t>. Jeigu asmuo, teikiantis informaciją apie pažeidimą, nesilaiko Aprašo 6 punkte nustatyto reikalavimo pranešimo formai, pranešime būtina nurodyti, kad jis teikiamas vadovaujantis Pranešėjų apsaugos įstatymu. Asmuo, teikianti</w:t>
      </w:r>
      <w:r>
        <w:rPr>
          <w:rFonts w:eastAsia="SimSun" w:cs="Mangal"/>
          <w:color w:val="000000"/>
          <w:szCs w:val="24"/>
          <w:lang w:eastAsia="zh-CN" w:bidi="hi-IN"/>
        </w:rPr>
        <w:t xml:space="preserve">s informaciją apie pažeidimą, pranešime </w:t>
      </w:r>
      <w:r>
        <w:rPr>
          <w:rFonts w:eastAsia="SimSun" w:cs="Mangal"/>
          <w:color w:val="000000"/>
          <w:szCs w:val="24"/>
          <w:lang w:eastAsia="lt-LT" w:bidi="hi-IN"/>
        </w:rPr>
        <w:t xml:space="preserve">nurodo konkrečias faktines pažeidimo aplinkybes, </w:t>
      </w:r>
      <w:r>
        <w:rPr>
          <w:rFonts w:eastAsia="SimSun" w:cs="Mangal"/>
          <w:color w:val="000000"/>
          <w:szCs w:val="24"/>
          <w:lang w:eastAsia="zh-CN" w:bidi="hi-IN"/>
        </w:rPr>
        <w:t>asmenį, kuris rengiasi daryti, dalyvauja ar dalyvavo darant pažeidimą, ar apie šį pažeidimą jis jau pranešė, jeigu pranešė, kam buvo pranešta ir ar buvo gautas atsakym</w:t>
      </w:r>
      <w:r>
        <w:rPr>
          <w:rFonts w:eastAsia="SimSun" w:cs="Mangal"/>
          <w:color w:val="000000"/>
          <w:szCs w:val="24"/>
          <w:lang w:eastAsia="zh-CN" w:bidi="hi-IN"/>
        </w:rPr>
        <w:t xml:space="preserve">as, </w:t>
      </w:r>
      <w:r>
        <w:rPr>
          <w:rFonts w:eastAsia="SimSun" w:cs="Mangal"/>
          <w:color w:val="000000"/>
          <w:szCs w:val="24"/>
          <w:lang w:eastAsia="lt-LT" w:bidi="hi-IN"/>
        </w:rPr>
        <w:t xml:space="preserve">savo vardą, pavardę, 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asmens kodą arba gimimo datą, jeigu asmens kodo neturi,</w:t>
      </w:r>
      <w:r>
        <w:rPr>
          <w:rFonts w:ascii="Times New Roman;serif" w:eastAsia="SimSun" w:hAnsi="Times New Roman;serif" w:cs="Mangal"/>
          <w:color w:val="000000"/>
          <w:sz w:val="19"/>
          <w:szCs w:val="24"/>
          <w:lang w:eastAsia="lt-LT" w:bidi="hi-IN"/>
        </w:rPr>
        <w:t xml:space="preserve"> – </w:t>
      </w:r>
      <w:r>
        <w:rPr>
          <w:rFonts w:eastAsia="SimSun" w:cs="Mangal"/>
          <w:color w:val="000000"/>
          <w:szCs w:val="24"/>
          <w:lang w:eastAsia="lt-LT" w:bidi="hi-IN"/>
        </w:rPr>
        <w:t>gyvenamąją (korespondencijos gavimo) vietą ar elektroninio pašto adresą ir kitus duomenis ryšiui palaikyti. Jei</w:t>
      </w:r>
      <w:r>
        <w:rPr>
          <w:rFonts w:eastAsia="SimSun" w:cs="Mangal"/>
          <w:color w:val="000000"/>
          <w:szCs w:val="24"/>
          <w:lang w:eastAsia="zh-CN" w:bidi="hi-IN"/>
        </w:rPr>
        <w:t xml:space="preserve"> įmanoma, </w:t>
      </w:r>
      <w:r>
        <w:rPr>
          <w:rFonts w:eastAsia="SimSun" w:cs="Mangal"/>
          <w:color w:val="000000"/>
          <w:szCs w:val="24"/>
          <w:lang w:eastAsia="lt-LT" w:bidi="hi-IN"/>
        </w:rPr>
        <w:t>prie pranešimo pridedami rašytiniai ar kitokie turim</w:t>
      </w:r>
      <w:r>
        <w:rPr>
          <w:rFonts w:eastAsia="SimSun" w:cs="Mangal"/>
          <w:color w:val="000000"/>
          <w:szCs w:val="24"/>
          <w:lang w:eastAsia="lt-LT" w:bidi="hi-IN"/>
        </w:rPr>
        <w:t>i duomenys apie pažeidimą.“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eastAsia="SimSun" w:cs="Mangal"/>
          <w:color w:val="000000"/>
          <w:szCs w:val="24"/>
          <w:lang w:eastAsia="lt-LT" w:bidi="hi-IN"/>
        </w:rPr>
        <w:t>1.3</w:t>
      </w:r>
      <w:r>
        <w:rPr>
          <w:rFonts w:eastAsia="SimSun" w:cs="Mangal"/>
          <w:color w:val="000000"/>
          <w:szCs w:val="24"/>
          <w:lang w:eastAsia="lt-LT" w:bidi="hi-IN"/>
        </w:rPr>
        <w:t xml:space="preserve">. </w:t>
      </w:r>
      <w:r>
        <w:rPr>
          <w:rFonts w:eastAsia="SimSun" w:cs="Mangal"/>
          <w:color w:val="000000"/>
          <w:szCs w:val="24"/>
          <w:lang w:eastAsia="zh-CN" w:bidi="hi-IN"/>
        </w:rPr>
        <w:t>Pakeičiu 11 punktą ir jį išdėstau taip: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eastAsia="SimSun" w:cs="Mangal"/>
          <w:color w:val="000000"/>
          <w:szCs w:val="24"/>
          <w:lang w:eastAsia="zh-CN" w:bidi="hi-IN"/>
        </w:rPr>
        <w:t>„</w:t>
      </w:r>
      <w:r>
        <w:rPr>
          <w:rFonts w:eastAsia="SimSun" w:cs="Mangal"/>
          <w:color w:val="000000"/>
          <w:szCs w:val="24"/>
          <w:lang w:eastAsia="zh-CN" w:bidi="hi-IN"/>
        </w:rPr>
        <w:t>11</w:t>
      </w:r>
      <w:r>
        <w:rPr>
          <w:rFonts w:eastAsia="SimSun" w:cs="Mangal"/>
          <w:color w:val="000000"/>
          <w:szCs w:val="24"/>
          <w:lang w:eastAsia="zh-CN" w:bidi="hi-IN"/>
        </w:rPr>
        <w:t xml:space="preserve">. </w:t>
      </w:r>
      <w:r>
        <w:rPr>
          <w:rFonts w:eastAsia="SimSun" w:cs="Mangal"/>
          <w:color w:val="000000"/>
          <w:szCs w:val="24"/>
          <w:lang w:eastAsia="lt-LT" w:bidi="hi-IN"/>
        </w:rPr>
        <w:t xml:space="preserve">Pranešimus priima ir užregistruoja dokumentų valdymo sistemoje nustatytame registre generalinio prokuroro įsakymu paskirtas atsakingas prokuratūros darbuotojas, </w:t>
      </w:r>
      <w:r>
        <w:rPr>
          <w:rFonts w:eastAsia="SimSun" w:cs="Mangal"/>
          <w:color w:val="000000"/>
          <w:szCs w:val="24"/>
          <w:lang w:eastAsia="lt-LT" w:bidi="hi-IN"/>
        </w:rPr>
        <w:t>apmokytas tvarkyti tokių pranešimų duomenis</w:t>
      </w:r>
      <w:r>
        <w:t xml:space="preserve"> </w:t>
      </w:r>
      <w:r>
        <w:rPr>
          <w:rFonts w:eastAsia="SimSun" w:cs="Mangal"/>
          <w:color w:val="000000"/>
          <w:szCs w:val="24"/>
          <w:lang w:eastAsia="lt-LT" w:bidi="hi-IN"/>
        </w:rPr>
        <w:t>(toliau – atsakingas prokuratūros darbuotojas).“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eastAsia="SimSun" w:cs="Mangal"/>
          <w:color w:val="000000"/>
          <w:szCs w:val="24"/>
          <w:lang w:eastAsia="lt-LT" w:bidi="hi-IN"/>
        </w:rPr>
        <w:t>1.4</w:t>
      </w:r>
      <w:r>
        <w:rPr>
          <w:rFonts w:eastAsia="SimSun" w:cs="Mangal"/>
          <w:color w:val="000000"/>
          <w:szCs w:val="24"/>
          <w:lang w:eastAsia="lt-LT" w:bidi="hi-IN"/>
        </w:rPr>
        <w:t xml:space="preserve">. </w:t>
      </w:r>
      <w:r>
        <w:rPr>
          <w:rFonts w:eastAsia="SimSun" w:cs="Mangal"/>
          <w:color w:val="000000"/>
          <w:szCs w:val="24"/>
          <w:lang w:eastAsia="zh-CN" w:bidi="hi-IN"/>
        </w:rPr>
        <w:t>Pakeičiu 16 punktą ir jį išdėstau taip: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eastAsia="SimSun" w:cs="Mangal"/>
          <w:color w:val="000000"/>
          <w:szCs w:val="24"/>
          <w:lang w:eastAsia="lt-LT" w:bidi="hi-IN"/>
        </w:rPr>
        <w:t>„</w:t>
      </w:r>
      <w:r>
        <w:rPr>
          <w:rFonts w:eastAsia="SimSun" w:cs="Mangal"/>
          <w:color w:val="000000"/>
          <w:szCs w:val="24"/>
          <w:lang w:eastAsia="lt-LT" w:bidi="hi-IN"/>
        </w:rPr>
        <w:t>16</w:t>
      </w:r>
      <w:r>
        <w:rPr>
          <w:rFonts w:eastAsia="SimSun" w:cs="Mangal"/>
          <w:color w:val="000000"/>
          <w:szCs w:val="24"/>
          <w:lang w:eastAsia="lt-LT" w:bidi="hi-IN"/>
        </w:rPr>
        <w:t>. Jeigu A</w:t>
      </w:r>
      <w:r>
        <w:rPr>
          <w:rFonts w:eastAsia="SimSun" w:cs="Mangal"/>
          <w:color w:val="000000"/>
          <w:szCs w:val="24"/>
          <w:lang w:eastAsia="lt-LT" w:bidi="hi-IN"/>
        </w:rPr>
        <w:t>smenų aptarnavimo Lietuvos Respublikos prokuratūroje tvarkos aprašo nustatyta tvarka užregistravus asmens prašymą, pareiškimą ar skundą vėliau paaiškėja, kad jame pateikta informacija atitinka Pranešėjų apsaugos įstatymo 6 straipsnio 2 dalyje nurodytas sąl</w:t>
      </w:r>
      <w:r>
        <w:rPr>
          <w:rFonts w:eastAsia="SimSun" w:cs="Mangal"/>
          <w:color w:val="000000"/>
          <w:szCs w:val="24"/>
          <w:lang w:eastAsia="lt-LT" w:bidi="hi-IN"/>
        </w:rPr>
        <w:t>ygas, apie tai nedelsiant informuojamas atsakingo Generalinės prokuratūros padalinio</w:t>
      </w:r>
      <w:r>
        <w:rPr>
          <w:rFonts w:eastAsia="SimSun" w:cs="Mangal"/>
          <w:color w:val="000000"/>
          <w:szCs w:val="24"/>
          <w:lang w:eastAsia="zh-CN" w:bidi="hi-IN"/>
        </w:rPr>
        <w:t xml:space="preserve"> vyriausiasis </w:t>
      </w:r>
      <w:r>
        <w:rPr>
          <w:rFonts w:eastAsia="SimSun" w:cs="Mangal"/>
          <w:color w:val="000000"/>
          <w:szCs w:val="24"/>
          <w:lang w:eastAsia="zh-CN" w:bidi="hi-IN"/>
        </w:rPr>
        <w:t>prokuroras.“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eastAsia="SimSun" w:cs="Mangal"/>
          <w:color w:val="000000"/>
          <w:szCs w:val="24"/>
          <w:lang w:eastAsia="zh-CN" w:bidi="hi-IN"/>
        </w:rPr>
        <w:t>1.5</w:t>
      </w:r>
      <w:r>
        <w:rPr>
          <w:rFonts w:eastAsia="SimSun" w:cs="Mangal"/>
          <w:color w:val="000000"/>
          <w:szCs w:val="24"/>
          <w:lang w:eastAsia="zh-CN" w:bidi="hi-IN"/>
        </w:rPr>
        <w:t>. Pakeičiu 18 punktą ir jį išdėstau taip: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eastAsia="SimSun" w:cs="Mangal"/>
          <w:color w:val="000000"/>
          <w:szCs w:val="24"/>
          <w:lang w:eastAsia="zh-CN" w:bidi="hi-IN"/>
        </w:rPr>
        <w:t>„</w:t>
      </w:r>
      <w:r>
        <w:rPr>
          <w:rFonts w:eastAsia="SimSun" w:cs="Mangal"/>
          <w:color w:val="000000"/>
          <w:szCs w:val="24"/>
          <w:lang w:eastAsia="zh-CN" w:bidi="hi-IN"/>
        </w:rPr>
        <w:t>18</w:t>
      </w:r>
      <w:r>
        <w:rPr>
          <w:rFonts w:eastAsia="SimSun" w:cs="Mangal"/>
          <w:color w:val="000000"/>
          <w:szCs w:val="24"/>
          <w:lang w:eastAsia="zh-CN" w:bidi="hi-IN"/>
        </w:rPr>
        <w:t>. P</w:t>
      </w:r>
      <w:r>
        <w:rPr>
          <w:rFonts w:eastAsia="SimSun" w:cs="Mangal"/>
          <w:color w:val="000000"/>
          <w:szCs w:val="24"/>
          <w:lang w:eastAsia="lt-LT" w:bidi="hi-IN"/>
        </w:rPr>
        <w:t xml:space="preserve">rokuroras, </w:t>
      </w:r>
      <w:r>
        <w:rPr>
          <w:rFonts w:eastAsia="SimSun" w:cs="Mangal"/>
          <w:color w:val="000000"/>
          <w:szCs w:val="24"/>
          <w:lang w:eastAsia="zh-CN" w:bidi="hi-IN"/>
        </w:rPr>
        <w:t>kuriam pavesta vertinti pranešimą:</w:t>
      </w:r>
    </w:p>
    <w:p w:rsidR="00803E42" w:rsidRDefault="00191C0E">
      <w:pPr>
        <w:widowControl w:val="0"/>
        <w:tabs>
          <w:tab w:val="left" w:pos="0"/>
          <w:tab w:val="left" w:pos="624"/>
          <w:tab w:val="left" w:pos="966"/>
        </w:tabs>
        <w:suppressAutoHyphens/>
        <w:ind w:firstLine="720"/>
        <w:jc w:val="both"/>
      </w:pPr>
      <w:r>
        <w:rPr>
          <w:szCs w:val="24"/>
        </w:rPr>
        <w:t>18.1</w:t>
      </w:r>
      <w:r>
        <w:rPr>
          <w:szCs w:val="24"/>
        </w:rPr>
        <w:t xml:space="preserve">. </w:t>
      </w: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>ne vėliau kaip per 2 darbo dienas nuo pranešimo gavimo prokuratūroje dienos praneša asmeniui, teikiančiam informaciją apie pažeidimą, apie jo pranešimo gavimą. Šis reikalavimas  netaikomas, kai yra bent viena iš Pranešėjų apsaugos įstatymo 6 straipsnio 1 d</w:t>
      </w: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>alyje nustatytų sąlygų;</w:t>
      </w:r>
    </w:p>
    <w:p w:rsidR="00803E42" w:rsidRDefault="00191C0E">
      <w:pPr>
        <w:widowControl w:val="0"/>
        <w:tabs>
          <w:tab w:val="left" w:pos="0"/>
          <w:tab w:val="left" w:pos="624"/>
          <w:tab w:val="left" w:pos="966"/>
        </w:tabs>
        <w:suppressAutoHyphens/>
        <w:ind w:firstLine="720"/>
        <w:jc w:val="both"/>
      </w:pPr>
      <w:r>
        <w:rPr>
          <w:rFonts w:eastAsia="SimSun" w:cs="Mangal"/>
          <w:color w:val="000000"/>
          <w:szCs w:val="24"/>
          <w:lang w:eastAsia="zh-CN" w:bidi="hi-IN"/>
        </w:rPr>
        <w:t>1</w:t>
      </w: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>8.2</w:t>
      </w: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 xml:space="preserve">. nedelsdamas, bet ne vėliau kaip per 10 darbo dienų nuo pranešimo gavimo prokuratūroje dienos įvertina </w:t>
      </w:r>
      <w:r>
        <w:rPr>
          <w:rFonts w:eastAsia="SimSun" w:cs="Mangal"/>
          <w:color w:val="000000"/>
          <w:szCs w:val="24"/>
          <w:lang w:eastAsia="zh-CN" w:bidi="hi-IN"/>
        </w:rPr>
        <w:t>pranešime pateiktą informaciją ir atlieka Aprašo 19–24 punktuose nurodytus veiksmus (priima sprendimus);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eastAsia="SimSun" w:cs="Mangal"/>
          <w:color w:val="000000"/>
          <w:szCs w:val="24"/>
          <w:lang w:eastAsia="zh-CN" w:bidi="hi-IN"/>
        </w:rPr>
        <w:t>18.3</w:t>
      </w:r>
      <w:r>
        <w:rPr>
          <w:rFonts w:eastAsia="SimSun" w:cs="Mangal"/>
          <w:color w:val="000000"/>
          <w:szCs w:val="24"/>
          <w:lang w:eastAsia="zh-CN" w:bidi="hi-IN"/>
        </w:rPr>
        <w:t xml:space="preserve">. </w:t>
      </w: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>ne vė</w:t>
      </w: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 xml:space="preserve">liau kaip per 2 darbo dienas nuo Aprašo 19 punkte nurodyto sprendimo priėmimo dienos </w:t>
      </w:r>
      <w:r>
        <w:rPr>
          <w:rFonts w:eastAsia="SimSun" w:cs="Mangal"/>
          <w:color w:val="000000"/>
          <w:szCs w:val="24"/>
          <w:lang w:eastAsia="zh-CN" w:bidi="hi-IN"/>
        </w:rPr>
        <w:t xml:space="preserve">apie priimtą sprendimą praneša </w:t>
      </w: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>asmeniui, teikiančiam informaciją apie pažeidimą.“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>1.6</w:t>
      </w: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>. Papildau nauju 24 punktu: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>„</w:t>
      </w: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>24</w:t>
      </w:r>
      <w:r>
        <w:rPr>
          <w:rFonts w:ascii="Times New Roman;serif" w:eastAsia="SimSun" w:hAnsi="Times New Roman;serif" w:cs="Mangal"/>
          <w:color w:val="000000"/>
          <w:szCs w:val="24"/>
          <w:lang w:eastAsia="zh-CN" w:bidi="hi-IN"/>
        </w:rPr>
        <w:t xml:space="preserve">. Jeigu vertinant pranešime pateiktą informaciją nustatoma, kad dėl to jau yra pradėtas tyrimas (priimtas Aprašo 19.1 papunktyje nurodytas sprendimas), 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pranešimas kartu su sprendimu pripažinti asmenį pranešėju persiunčiamas tyrimą atliekančiai institucijai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, nurodant sprendimą pridėti prie atliekamo tyrimo medžiagos ir užtikrinti pranešėjo apsaugą pagal Pranešėjų apsaugos įstatymo reikalavimus, taip pat informuoti prokuratūrą apie tyrimo eigą ir rezultatus.“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1.7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. Buvusius 24–30 punktus laikau atitink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amai 25–31 punktais.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1.8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. Pakeičiu 30 punktą ir jį išdėstau taip:</w:t>
      </w:r>
    </w:p>
    <w:p w:rsidR="00803E42" w:rsidRDefault="00191C0E">
      <w:pPr>
        <w:widowControl w:val="0"/>
        <w:tabs>
          <w:tab w:val="left" w:pos="0"/>
          <w:tab w:val="left" w:pos="961"/>
        </w:tabs>
        <w:suppressAutoHyphens/>
        <w:ind w:firstLine="720"/>
        <w:jc w:val="both"/>
        <w:textAlignment w:val="center"/>
      </w:pP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„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30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>. Atsakingas Generalinės prokuratūros padalinys koordinuoja institucijų veiksmus tiriant informaciją apie pažeidimus, gauna informaciją apie pranešimo nagrinėjimo eigą ir rezultatus</w:t>
      </w:r>
      <w:r>
        <w:rPr>
          <w:rFonts w:ascii="Times New Roman;serif" w:eastAsia="SimSun" w:hAnsi="Times New Roman;serif" w:cs="Mangal"/>
          <w:color w:val="000000"/>
          <w:szCs w:val="24"/>
          <w:lang w:eastAsia="lt-LT" w:bidi="hi-IN"/>
        </w:rPr>
        <w:t xml:space="preserve">, </w:t>
      </w:r>
      <w:r>
        <w:rPr>
          <w:rFonts w:ascii="Times New Roman;serif" w:eastAsia="SimSun" w:hAnsi="Times New Roman;serif" w:cs="Mangal"/>
          <w:color w:val="000000"/>
          <w:szCs w:val="24"/>
          <w:lang w:eastAsia="lv-LV" w:bidi="hi-IN"/>
        </w:rPr>
        <w:t>rengia ir teikia rekomendacijas dėl pranešėjų apsaugos tobulinimo.“</w:t>
      </w:r>
    </w:p>
    <w:p w:rsidR="00803E42" w:rsidRDefault="00191C0E">
      <w:pPr>
        <w:widowControl w:val="0"/>
        <w:tabs>
          <w:tab w:val="left" w:pos="0"/>
          <w:tab w:val="left" w:pos="961"/>
        </w:tabs>
        <w:suppressAutoHyphens/>
        <w:ind w:firstLine="720"/>
        <w:jc w:val="both"/>
        <w:textAlignment w:val="center"/>
      </w:pPr>
      <w:r>
        <w:rPr>
          <w:rFonts w:ascii="Times New Roman;serif" w:eastAsia="SimSun" w:hAnsi="Times New Roman;serif" w:cs="Mangal"/>
          <w:color w:val="000000"/>
          <w:szCs w:val="24"/>
          <w:lang w:eastAsia="lv-LV" w:bidi="hi-IN"/>
        </w:rPr>
        <w:t>1.9</w:t>
      </w:r>
      <w:r>
        <w:rPr>
          <w:rFonts w:ascii="Times New Roman;serif" w:eastAsia="SimSun" w:hAnsi="Times New Roman;serif" w:cs="Mangal"/>
          <w:color w:val="000000"/>
          <w:szCs w:val="24"/>
          <w:lang w:eastAsia="lv-LV" w:bidi="hi-IN"/>
        </w:rPr>
        <w:t>. Pakeičiu 31 punktą ir jį išdėstau taip:</w:t>
      </w:r>
    </w:p>
    <w:p w:rsidR="00803E42" w:rsidRDefault="00191C0E">
      <w:pPr>
        <w:tabs>
          <w:tab w:val="left" w:pos="0"/>
          <w:tab w:val="left" w:pos="395"/>
          <w:tab w:val="left" w:pos="1023"/>
        </w:tabs>
        <w:suppressAutoHyphens/>
        <w:ind w:firstLine="720"/>
        <w:jc w:val="both"/>
      </w:pPr>
      <w:r>
        <w:rPr>
          <w:szCs w:val="24"/>
        </w:rPr>
        <w:t>„</w:t>
      </w:r>
      <w:r>
        <w:rPr>
          <w:szCs w:val="24"/>
        </w:rPr>
        <w:t>31</w:t>
      </w:r>
      <w:r>
        <w:rPr>
          <w:szCs w:val="24"/>
        </w:rPr>
        <w:t>. Atsakingas Generalinės prokuratūros padalinys:</w:t>
      </w:r>
    </w:p>
    <w:p w:rsidR="00803E42" w:rsidRDefault="00191C0E">
      <w:pPr>
        <w:tabs>
          <w:tab w:val="left" w:pos="0"/>
          <w:tab w:val="left" w:pos="395"/>
          <w:tab w:val="left" w:pos="1023"/>
        </w:tabs>
        <w:suppressAutoHyphens/>
        <w:ind w:firstLine="720"/>
        <w:jc w:val="both"/>
      </w:pPr>
      <w:r>
        <w:rPr>
          <w:szCs w:val="24"/>
        </w:rPr>
        <w:t>31.1</w:t>
      </w:r>
      <w:r>
        <w:rPr>
          <w:szCs w:val="24"/>
        </w:rPr>
        <w:t>. ne rečiau kaip kartą per metus apibendrina informacijos apie pažeidimus</w:t>
      </w:r>
      <w:r>
        <w:rPr>
          <w:szCs w:val="24"/>
        </w:rPr>
        <w:t xml:space="preserve"> gavimo ir nagrinėjimo praktiką ir prokuratūros interneto svetainėje skelbia statistinius duomenis apie gautų pranešimų skaičių, jų vertinimo rezultatus, apibendrintą informaciją apie atskleistus pažeidimus;</w:t>
      </w:r>
    </w:p>
    <w:p w:rsidR="00803E42" w:rsidRDefault="00191C0E">
      <w:pPr>
        <w:tabs>
          <w:tab w:val="left" w:pos="0"/>
          <w:tab w:val="left" w:pos="395"/>
          <w:tab w:val="left" w:pos="1023"/>
        </w:tabs>
        <w:suppressAutoHyphens/>
        <w:ind w:firstLine="720"/>
        <w:jc w:val="both"/>
      </w:pPr>
      <w:r>
        <w:rPr>
          <w:rFonts w:eastAsia="SimSun" w:cs="Mangal"/>
          <w:color w:val="000000"/>
          <w:szCs w:val="24"/>
          <w:lang w:eastAsia="lt-LT" w:bidi="hi-IN"/>
        </w:rPr>
        <w:t>31.2</w:t>
      </w:r>
      <w:r>
        <w:rPr>
          <w:rFonts w:eastAsia="SimSun" w:cs="Mangal"/>
          <w:color w:val="000000"/>
          <w:szCs w:val="24"/>
          <w:lang w:eastAsia="lt-LT" w:bidi="hi-IN"/>
        </w:rPr>
        <w:t xml:space="preserve">. </w:t>
      </w:r>
      <w:r>
        <w:rPr>
          <w:color w:val="000000"/>
          <w:szCs w:val="24"/>
          <w:lang w:eastAsia="lt-LT"/>
        </w:rPr>
        <w:t>kasmet Europos Komisijai teikia apiben</w:t>
      </w:r>
      <w:r>
        <w:rPr>
          <w:color w:val="000000"/>
          <w:szCs w:val="24"/>
          <w:lang w:eastAsia="lt-LT"/>
        </w:rPr>
        <w:t>drintus statistinius duomenis apie prokuratūroje, kaip kompetentingoje institucijoje, gautų pranešimų, dėl jų pradėtų tyrimų skaičių ir rezultatus;</w:t>
      </w:r>
    </w:p>
    <w:p w:rsidR="00803E42" w:rsidRDefault="00191C0E">
      <w:pPr>
        <w:tabs>
          <w:tab w:val="left" w:pos="0"/>
          <w:tab w:val="left" w:pos="395"/>
          <w:tab w:val="left" w:pos="1023"/>
        </w:tabs>
        <w:suppressAutoHyphens/>
        <w:ind w:firstLine="720"/>
        <w:jc w:val="both"/>
      </w:pPr>
      <w:r>
        <w:rPr>
          <w:color w:val="000000"/>
          <w:szCs w:val="24"/>
          <w:lang w:eastAsia="lt-LT"/>
        </w:rPr>
        <w:t>31.3</w:t>
      </w:r>
      <w:r>
        <w:rPr>
          <w:color w:val="000000"/>
          <w:szCs w:val="24"/>
          <w:lang w:eastAsia="lt-LT"/>
        </w:rPr>
        <w:t>. ne rečiau kaip kartą per metus prokurorams, valstybės tarnautojams ir darbuotojams, dirbantiems pa</w:t>
      </w:r>
      <w:r>
        <w:rPr>
          <w:color w:val="000000"/>
          <w:szCs w:val="24"/>
          <w:lang w:eastAsia="lt-LT"/>
        </w:rPr>
        <w:t>gal darbo sutartis, organizuoja mokymus apie Pranešėjų apsaugos įstatymo nuostatų įgyvendinimą;</w:t>
      </w:r>
    </w:p>
    <w:p w:rsidR="00803E42" w:rsidRDefault="00191C0E">
      <w:pPr>
        <w:widowControl w:val="0"/>
        <w:tabs>
          <w:tab w:val="left" w:pos="0"/>
          <w:tab w:val="left" w:pos="395"/>
          <w:tab w:val="left" w:pos="1023"/>
        </w:tabs>
        <w:suppressAutoHyphens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31.4</w:t>
      </w:r>
      <w:r>
        <w:rPr>
          <w:color w:val="000000"/>
          <w:szCs w:val="24"/>
          <w:lang w:eastAsia="lt-LT"/>
        </w:rPr>
        <w:t>. teikia n</w:t>
      </w:r>
      <w:r>
        <w:rPr>
          <w:rFonts w:eastAsia="SimSun" w:cs="Mangal"/>
          <w:color w:val="000000"/>
          <w:szCs w:val="24"/>
          <w:lang w:eastAsia="lt-LT" w:bidi="hi-IN"/>
        </w:rPr>
        <w:t>eatlygintinas konsultacijas pranešėjų apsaugos klausimais (prokuratūros interneto svetainėje nurodytu telefono numeriu).“</w:t>
      </w:r>
    </w:p>
    <w:p w:rsidR="00803E42" w:rsidRDefault="00191C0E">
      <w:pPr>
        <w:widowControl w:val="0"/>
        <w:tabs>
          <w:tab w:val="left" w:pos="0"/>
          <w:tab w:val="left" w:pos="395"/>
          <w:tab w:val="left" w:pos="1023"/>
        </w:tabs>
        <w:suppressAutoHyphens/>
        <w:ind w:firstLine="720"/>
        <w:jc w:val="both"/>
        <w:textAlignment w:val="center"/>
      </w:pPr>
      <w:r>
        <w:rPr>
          <w:rFonts w:eastAsia="SimSun" w:cs="Mangal"/>
          <w:color w:val="000000"/>
          <w:szCs w:val="24"/>
          <w:lang w:eastAsia="lt-LT" w:bidi="hi-IN"/>
        </w:rPr>
        <w:t>2</w:t>
      </w:r>
      <w:r>
        <w:rPr>
          <w:rFonts w:eastAsia="SimSun" w:cs="Mangal"/>
          <w:color w:val="000000"/>
          <w:szCs w:val="24"/>
          <w:lang w:eastAsia="lt-LT" w:bidi="hi-IN"/>
        </w:rPr>
        <w:t>. N u s</w:t>
      </w:r>
      <w:r>
        <w:rPr>
          <w:rFonts w:eastAsia="SimSun" w:cs="Mangal"/>
          <w:color w:val="000000"/>
          <w:szCs w:val="24"/>
          <w:lang w:eastAsia="lt-LT" w:bidi="hi-IN"/>
        </w:rPr>
        <w:t xml:space="preserve"> t a t a u, kad šis įsakymas įsigalioja 2022 m. vasario 15 d.</w:t>
      </w:r>
    </w:p>
    <w:p w:rsidR="00803E42" w:rsidRDefault="00191C0E">
      <w:pPr>
        <w:widowControl w:val="0"/>
        <w:tabs>
          <w:tab w:val="left" w:pos="900"/>
        </w:tabs>
        <w:suppressAutoHyphens/>
        <w:ind w:firstLine="737"/>
        <w:jc w:val="both"/>
        <w:textAlignment w:val="center"/>
      </w:pPr>
      <w:r>
        <w:rPr>
          <w:rFonts w:eastAsia="SimSun" w:cs="Mangal"/>
          <w:color w:val="000000"/>
          <w:szCs w:val="24"/>
          <w:lang w:eastAsia="lt-LT" w:bidi="hi-IN"/>
        </w:rPr>
        <w:t>3</w:t>
      </w:r>
      <w:r>
        <w:rPr>
          <w:rFonts w:eastAsia="SimSun" w:cs="Mangal"/>
          <w:color w:val="000000"/>
          <w:szCs w:val="24"/>
          <w:lang w:eastAsia="lt-LT" w:bidi="hi-IN"/>
        </w:rPr>
        <w:t xml:space="preserve">. </w:t>
      </w:r>
      <w:r>
        <w:rPr>
          <w:rFonts w:eastAsia="SimSun" w:cs="Mangal"/>
          <w:color w:val="000000"/>
          <w:spacing w:val="60"/>
          <w:szCs w:val="24"/>
          <w:lang w:eastAsia="lt-LT" w:bidi="hi-IN"/>
        </w:rPr>
        <w:t>Skelbi</w:t>
      </w:r>
      <w:r>
        <w:rPr>
          <w:rFonts w:eastAsia="SimSun" w:cs="Mangal"/>
          <w:color w:val="000000"/>
          <w:szCs w:val="24"/>
          <w:lang w:eastAsia="lt-LT" w:bidi="hi-IN"/>
        </w:rPr>
        <w:t xml:space="preserve">u šį įsakymą Teisės aktų registre. </w:t>
      </w:r>
    </w:p>
    <w:p w:rsidR="00191C0E" w:rsidRDefault="00191C0E">
      <w:pPr>
        <w:tabs>
          <w:tab w:val="left" w:pos="7371"/>
        </w:tabs>
        <w:suppressAutoHyphens/>
        <w:overflowPunct w:val="0"/>
        <w:jc w:val="both"/>
        <w:textAlignment w:val="baseline"/>
      </w:pPr>
    </w:p>
    <w:p w:rsidR="00191C0E" w:rsidRDefault="00191C0E">
      <w:pPr>
        <w:tabs>
          <w:tab w:val="left" w:pos="7371"/>
        </w:tabs>
        <w:suppressAutoHyphens/>
        <w:overflowPunct w:val="0"/>
        <w:jc w:val="both"/>
        <w:textAlignment w:val="baseline"/>
      </w:pPr>
    </w:p>
    <w:p w:rsidR="00191C0E" w:rsidRDefault="00191C0E">
      <w:pPr>
        <w:tabs>
          <w:tab w:val="left" w:pos="7371"/>
        </w:tabs>
        <w:suppressAutoHyphens/>
        <w:overflowPunct w:val="0"/>
        <w:jc w:val="both"/>
        <w:textAlignment w:val="baseline"/>
      </w:pPr>
    </w:p>
    <w:p w:rsidR="00803E42" w:rsidRDefault="00191C0E">
      <w:pPr>
        <w:tabs>
          <w:tab w:val="left" w:pos="7371"/>
        </w:tabs>
        <w:suppressAutoHyphens/>
        <w:overflowPunct w:val="0"/>
        <w:jc w:val="both"/>
        <w:textAlignment w:val="baseline"/>
      </w:pPr>
      <w:bookmarkStart w:id="0" w:name="_GoBack"/>
      <w:bookmarkEnd w:id="0"/>
      <w:r>
        <w:rPr>
          <w:kern w:val="2"/>
          <w:szCs w:val="24"/>
          <w:lang w:eastAsia="zh-CN"/>
        </w:rPr>
        <w:t>Generalinė prokurorė</w:t>
      </w:r>
      <w:r>
        <w:rPr>
          <w:kern w:val="2"/>
          <w:szCs w:val="24"/>
          <w:lang w:eastAsia="zh-CN"/>
        </w:rPr>
        <w:tab/>
        <w:t xml:space="preserve">    Nida </w:t>
      </w:r>
      <w:proofErr w:type="spellStart"/>
      <w:r>
        <w:rPr>
          <w:kern w:val="2"/>
          <w:szCs w:val="24"/>
          <w:lang w:eastAsia="zh-CN"/>
        </w:rPr>
        <w:t>Grunskienė</w:t>
      </w:r>
      <w:proofErr w:type="spellEnd"/>
    </w:p>
    <w:p w:rsidR="00803E42" w:rsidRDefault="00803E42">
      <w:pPr>
        <w:tabs>
          <w:tab w:val="left" w:pos="7371"/>
        </w:tabs>
        <w:suppressAutoHyphens/>
        <w:overflowPunct w:val="0"/>
        <w:jc w:val="both"/>
        <w:textAlignment w:val="baseline"/>
        <w:rPr>
          <w:kern w:val="2"/>
          <w:szCs w:val="24"/>
          <w:lang w:eastAsia="zh-CN"/>
        </w:rPr>
      </w:pPr>
    </w:p>
    <w:p w:rsidR="00803E42" w:rsidRDefault="00191C0E">
      <w:pPr>
        <w:tabs>
          <w:tab w:val="left" w:pos="7371"/>
        </w:tabs>
        <w:suppressAutoHyphens/>
        <w:overflowPunct w:val="0"/>
        <w:jc w:val="both"/>
        <w:textAlignment w:val="baseline"/>
        <w:rPr>
          <w:kern w:val="2"/>
          <w:szCs w:val="24"/>
          <w:lang w:eastAsia="zh-CN"/>
        </w:rPr>
      </w:pPr>
    </w:p>
    <w:sectPr w:rsidR="00803E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9" w:right="567" w:bottom="1304" w:left="1701" w:header="680" w:footer="73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42" w:rsidRDefault="00191C0E">
      <w:r>
        <w:separator/>
      </w:r>
    </w:p>
  </w:endnote>
  <w:endnote w:type="continuationSeparator" w:id="0">
    <w:p w:rsidR="00803E42" w:rsidRDefault="0019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42" w:rsidRDefault="00803E42">
    <w:pPr>
      <w:tabs>
        <w:tab w:val="center" w:pos="4320"/>
        <w:tab w:val="right" w:pos="8640"/>
      </w:tabs>
      <w:suppressAutoHyphens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42" w:rsidRDefault="00803E42">
    <w:pPr>
      <w:tabs>
        <w:tab w:val="center" w:pos="4320"/>
        <w:tab w:val="right" w:pos="8640"/>
      </w:tabs>
      <w:suppressAutoHyphens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42" w:rsidRDefault="00191C0E">
      <w:r>
        <w:separator/>
      </w:r>
    </w:p>
  </w:footnote>
  <w:footnote w:type="continuationSeparator" w:id="0">
    <w:p w:rsidR="00803E42" w:rsidRDefault="0019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42" w:rsidRDefault="00191C0E">
    <w:pPr>
      <w:tabs>
        <w:tab w:val="center" w:pos="4320"/>
        <w:tab w:val="right" w:pos="8640"/>
      </w:tabs>
      <w:suppressAutoHyphens/>
      <w:jc w:val="center"/>
    </w:pPr>
    <w:r>
      <w:rPr>
        <w:lang w:eastAsia="zh-CN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803E42" w:rsidRDefault="00803E42">
    <w:pPr>
      <w:tabs>
        <w:tab w:val="center" w:pos="4320"/>
        <w:tab w:val="right" w:pos="8640"/>
      </w:tabs>
      <w:suppressAutoHyphens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42" w:rsidRDefault="00803E42">
    <w:pPr>
      <w:suppressLineNumbers/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36"/>
    <w:rsid w:val="00191C0E"/>
    <w:rsid w:val="00637536"/>
    <w:rsid w:val="008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81DA"/>
  <w15:docId w15:val="{40DEB460-D3DB-400B-95C9-926BDA6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3732</Words>
  <Characters>2128</Characters>
  <Application>Microsoft Office Word</Application>
  <DocSecurity>0</DocSecurity>
  <Lines>17</Lines>
  <Paragraphs>11</Paragraphs>
  <ScaleCrop>false</ScaleCrop>
  <Company>LR Seimo kanceliarija</Company>
  <LinksUpToDate>false</LinksUpToDate>
  <CharactersWithSpaces>5849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2022-02-07T12:31:00Z</dcterms:created>
  <dc:creator>PetravicieneLor</dc:creator>
  <dc:language>lt-LT</dc:language>
  <lastModifiedBy>ŠAULYTĖ SKAIRIENĖ Dalia</lastModifiedBy>
  <lastPrinted>2019-02-25T13:16:00Z</lastPrinted>
  <dcterms:modified xsi:type="dcterms:W3CDTF">2022-02-07T12:34:00Z</dcterms:modified>
  <revision>3</revision>
</coreProperties>
</file>