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42BE" w14:textId="77777777" w:rsidR="004A5DE6" w:rsidRDefault="004A5DE6">
      <w:pPr>
        <w:tabs>
          <w:tab w:val="center" w:pos="4153"/>
          <w:tab w:val="right" w:pos="8306"/>
        </w:tabs>
        <w:rPr>
          <w:lang w:eastAsia="lt-LT"/>
        </w:rPr>
      </w:pPr>
    </w:p>
    <w:p w14:paraId="54AE1A5D" w14:textId="77777777" w:rsidR="004A5DE6" w:rsidRDefault="004244DD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4AE1A7E" wp14:editId="54AE1A7F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1A5E" w14:textId="77777777" w:rsidR="004A5DE6" w:rsidRDefault="004244DD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54AE1A5F" w14:textId="77777777" w:rsidR="004A5DE6" w:rsidRDefault="004A5DE6">
      <w:pPr>
        <w:jc w:val="center"/>
        <w:rPr>
          <w:b/>
          <w:lang w:eastAsia="lt-LT"/>
        </w:rPr>
      </w:pPr>
    </w:p>
    <w:p w14:paraId="54AE1A60" w14:textId="77777777" w:rsidR="004A5DE6" w:rsidRDefault="004244DD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54AE1A61" w14:textId="77777777" w:rsidR="004A5DE6" w:rsidRDefault="004244DD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lang w:eastAsia="lt-LT"/>
        </w:rPr>
        <w:t xml:space="preserve"> </w:t>
      </w:r>
      <w:r>
        <w:rPr>
          <w:b/>
          <w:lang w:eastAsia="lt-LT"/>
        </w:rPr>
        <w:t>FINANSŲ MINISTRO 2013 M. GRUODŽIO 31 D. ĮSAKYMO NR. 1K-417 „DĖL VALDŽIOS SEKTORIAUS SUBJEKTŲ APSKAITOS DUOMENŲ TEIKIMO FINANSŲ MINISTERIJAI IR SKELBIMO TAISYKLIŲ PATVIRTINIMO“ PAKEITIMO</w:t>
      </w:r>
    </w:p>
    <w:p w14:paraId="54AE1A62" w14:textId="77777777" w:rsidR="004A5DE6" w:rsidRDefault="004A5DE6">
      <w:pPr>
        <w:jc w:val="center"/>
        <w:rPr>
          <w:lang w:eastAsia="lt-LT"/>
        </w:rPr>
      </w:pPr>
    </w:p>
    <w:p w14:paraId="54AE1A63" w14:textId="77777777" w:rsidR="004A5DE6" w:rsidRDefault="004244DD">
      <w:pPr>
        <w:jc w:val="center"/>
        <w:rPr>
          <w:lang w:eastAsia="lt-LT"/>
        </w:rPr>
      </w:pPr>
      <w:r>
        <w:rPr>
          <w:lang w:eastAsia="lt-LT"/>
        </w:rPr>
        <w:t xml:space="preserve">2020 </w:t>
      </w:r>
      <w:r>
        <w:rPr>
          <w:lang w:eastAsia="lt-LT"/>
        </w:rPr>
        <w:t>m. sausio 22 d. Nr. 1K-8</w:t>
      </w:r>
    </w:p>
    <w:p w14:paraId="54AE1A64" w14:textId="77777777" w:rsidR="004A5DE6" w:rsidRDefault="004244D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4AE1A65" w14:textId="77777777" w:rsidR="004A5DE6" w:rsidRDefault="004A5DE6">
      <w:pPr>
        <w:jc w:val="center"/>
        <w:rPr>
          <w:lang w:eastAsia="lt-LT"/>
        </w:rPr>
      </w:pPr>
    </w:p>
    <w:p w14:paraId="01063148" w14:textId="77777777" w:rsidR="004A5DE6" w:rsidRDefault="004A5DE6">
      <w:pPr>
        <w:jc w:val="center"/>
        <w:rPr>
          <w:lang w:eastAsia="lt-LT"/>
        </w:rPr>
      </w:pPr>
    </w:p>
    <w:p w14:paraId="54AE1A66" w14:textId="77777777" w:rsidR="004A5DE6" w:rsidRDefault="004244DD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 a k e i č i u Lietuvos Respublikos finansų ministro 2013 m. gruodžio 31 d. įsakymą Nr. 1K-417 „Dėl Valdžios sektoriaus subjektų apskaitos duomenų teikimo Finansų ministerijai ir skelbimo taisyklių patvirtinimo“ ir </w:t>
      </w:r>
      <w:r>
        <w:rPr>
          <w:lang w:eastAsia="lt-LT"/>
        </w:rPr>
        <w:t>jį išdėstau nauja redakcija:</w:t>
      </w:r>
    </w:p>
    <w:p w14:paraId="54AE1A67" w14:textId="77777777" w:rsidR="004A5DE6" w:rsidRDefault="004A5DE6">
      <w:pPr>
        <w:spacing w:line="276" w:lineRule="auto"/>
        <w:ind w:firstLine="720"/>
        <w:jc w:val="both"/>
        <w:rPr>
          <w:lang w:eastAsia="lt-LT"/>
        </w:rPr>
      </w:pPr>
    </w:p>
    <w:p w14:paraId="54AE1A68" w14:textId="77777777" w:rsidR="004A5DE6" w:rsidRDefault="004244DD">
      <w:pPr>
        <w:spacing w:line="276" w:lineRule="auto"/>
        <w:jc w:val="center"/>
        <w:rPr>
          <w:b/>
          <w:lang w:eastAsia="lt-LT"/>
        </w:rPr>
      </w:pPr>
      <w:r>
        <w:rPr>
          <w:lang w:eastAsia="lt-LT"/>
        </w:rPr>
        <w:t>„</w:t>
      </w:r>
      <w:r>
        <w:rPr>
          <w:b/>
          <w:lang w:eastAsia="lt-LT"/>
        </w:rPr>
        <w:t>LIETUVOS RESPUBLIKOS FINANSŲ MINISTRAS</w:t>
      </w:r>
    </w:p>
    <w:p w14:paraId="54AE1A69" w14:textId="77777777" w:rsidR="004A5DE6" w:rsidRDefault="004A5DE6">
      <w:pPr>
        <w:spacing w:line="276" w:lineRule="auto"/>
        <w:jc w:val="both"/>
        <w:rPr>
          <w:b/>
          <w:lang w:eastAsia="lt-LT"/>
        </w:rPr>
      </w:pPr>
    </w:p>
    <w:p w14:paraId="54AE1A6A" w14:textId="77777777" w:rsidR="004A5DE6" w:rsidRDefault="004244DD">
      <w:pPr>
        <w:spacing w:line="276" w:lineRule="auto"/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54AE1A6D" w14:textId="6BB98F5A" w:rsidR="004A5DE6" w:rsidRDefault="004244DD">
      <w:pPr>
        <w:spacing w:line="276" w:lineRule="auto"/>
        <w:jc w:val="center"/>
        <w:rPr>
          <w:b/>
          <w:lang w:eastAsia="lt-LT"/>
        </w:rPr>
      </w:pPr>
      <w:r>
        <w:rPr>
          <w:b/>
          <w:lang w:eastAsia="lt-LT"/>
        </w:rPr>
        <w:t>DĖL VALDŽIOS SEKTORIAUS SUBJEKTŲ APSKAITOS DUOMENŲ TEIKIMO FINANSŲ MINISTERIJAI IR SKELBIMO TAISYKLIŲ PATVIRTINIMO</w:t>
      </w:r>
    </w:p>
    <w:p w14:paraId="54AE1A6E" w14:textId="77777777" w:rsidR="004A5DE6" w:rsidRDefault="004A5DE6">
      <w:pPr>
        <w:spacing w:line="276" w:lineRule="auto"/>
        <w:ind w:firstLine="720"/>
        <w:jc w:val="both"/>
        <w:rPr>
          <w:lang w:eastAsia="lt-LT"/>
        </w:rPr>
      </w:pPr>
    </w:p>
    <w:p w14:paraId="54AE1A6F" w14:textId="77777777" w:rsidR="004A5DE6" w:rsidRDefault="004244DD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Vadovaudamasis Lietuvos Respublikos Vyriausybės 2013 m. gruo</w:t>
      </w:r>
      <w:r>
        <w:rPr>
          <w:lang w:eastAsia="lt-LT"/>
        </w:rPr>
        <w:t>džio 4 d. nutarimo Nr. 1129 „Dėl valdžios sektoriaus apskaitos duomenų teikimo“ 1.1 papunkčiu,</w:t>
      </w:r>
    </w:p>
    <w:p w14:paraId="54AE1A70" w14:textId="77777777" w:rsidR="004A5DE6" w:rsidRDefault="004244DD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t v i r t i n u Valdžios sektoriaus subjektų apskaitos duomenų teikimo Finansų ministerijai ir skelbimo taisykles (pridedama).“</w:t>
      </w:r>
    </w:p>
    <w:p w14:paraId="54AE1A78" w14:textId="12BAC123" w:rsidR="004A5DE6" w:rsidRDefault="004244DD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N u s t a t a u, k</w:t>
      </w:r>
      <w:r>
        <w:rPr>
          <w:lang w:eastAsia="lt-LT"/>
        </w:rPr>
        <w:t>ad Valdžios sektoriaus subjektų apskaitos duomenų teikimo Finansų ministerijai ir skelbimo taisyklių 9 ir 10 prieduose nurodytos ataskaitos teikiamos už 2020 metų pirmąjį ketvirtį ir vėlesnius ataskaitinius laikotarpius.</w:t>
      </w:r>
    </w:p>
    <w:p w14:paraId="26D02226" w14:textId="77777777" w:rsidR="004244DD" w:rsidRDefault="004244DD"/>
    <w:p w14:paraId="2CF856F1" w14:textId="77777777" w:rsidR="004244DD" w:rsidRDefault="004244DD"/>
    <w:p w14:paraId="4E2C1FBC" w14:textId="77777777" w:rsidR="004244DD" w:rsidRDefault="004244DD"/>
    <w:p w14:paraId="54AE1A79" w14:textId="19BAC3DB" w:rsidR="004A5DE6" w:rsidRDefault="004244DD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Vilius </w:t>
      </w:r>
      <w:r>
        <w:rPr>
          <w:szCs w:val="24"/>
          <w:lang w:eastAsia="lt-LT"/>
        </w:rPr>
        <w:t>Šapoka</w:t>
      </w:r>
    </w:p>
    <w:p w14:paraId="5FB5FE9D" w14:textId="77777777" w:rsidR="004A5DE6" w:rsidRDefault="004244DD">
      <w:pPr>
        <w:rPr>
          <w:szCs w:val="24"/>
          <w:lang w:eastAsia="lt-LT"/>
        </w:rPr>
      </w:pPr>
    </w:p>
    <w:p w14:paraId="1380E62E" w14:textId="77777777" w:rsidR="004244DD" w:rsidRDefault="004244DD" w:rsidP="004244DD">
      <w:pPr>
        <w:ind w:left="4320"/>
        <w:sectPr w:rsidR="004244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701" w:header="560" w:footer="686" w:gutter="0"/>
          <w:cols w:space="1296"/>
          <w:formProt w:val="0"/>
          <w:titlePg/>
        </w:sectPr>
      </w:pPr>
    </w:p>
    <w:p w14:paraId="65454159" w14:textId="11EB8603" w:rsidR="004A5DE6" w:rsidRDefault="004244DD" w:rsidP="004244DD">
      <w:pPr>
        <w:ind w:left="4320"/>
        <w:rPr>
          <w:szCs w:val="24"/>
        </w:rPr>
      </w:pPr>
      <w:r>
        <w:rPr>
          <w:szCs w:val="24"/>
        </w:rPr>
        <w:lastRenderedPageBreak/>
        <w:t>PATVIRTINTA</w:t>
      </w:r>
    </w:p>
    <w:p w14:paraId="2CE8EB4B" w14:textId="77777777" w:rsidR="004A5DE6" w:rsidRDefault="004244DD" w:rsidP="004244DD">
      <w:pPr>
        <w:ind w:left="4320"/>
        <w:rPr>
          <w:szCs w:val="24"/>
        </w:rPr>
      </w:pPr>
      <w:r>
        <w:rPr>
          <w:szCs w:val="24"/>
        </w:rPr>
        <w:t>Lietuvos Respublikos finansų ministro</w:t>
      </w:r>
    </w:p>
    <w:p w14:paraId="7E976EAA" w14:textId="77777777" w:rsidR="004A5DE6" w:rsidRDefault="004244DD" w:rsidP="004244DD">
      <w:pPr>
        <w:ind w:left="4320"/>
        <w:rPr>
          <w:szCs w:val="24"/>
        </w:rPr>
      </w:pPr>
      <w:r>
        <w:rPr>
          <w:szCs w:val="24"/>
        </w:rPr>
        <w:t xml:space="preserve">2013 m. gruodžio 31 d. įsakymu Nr. 1K-417 </w:t>
      </w:r>
    </w:p>
    <w:p w14:paraId="45576ED0" w14:textId="77777777" w:rsidR="004A5DE6" w:rsidRDefault="004244DD" w:rsidP="004244DD">
      <w:pPr>
        <w:ind w:left="4320"/>
        <w:jc w:val="both"/>
        <w:rPr>
          <w:szCs w:val="24"/>
        </w:rPr>
      </w:pPr>
      <w:r>
        <w:rPr>
          <w:szCs w:val="24"/>
        </w:rPr>
        <w:t>(Lietuvos Respublikos finansų ministro</w:t>
      </w:r>
    </w:p>
    <w:p w14:paraId="127D6878" w14:textId="4642FA5A" w:rsidR="004A5DE6" w:rsidRDefault="004244DD" w:rsidP="004244DD">
      <w:pPr>
        <w:ind w:left="4320"/>
        <w:jc w:val="both"/>
        <w:rPr>
          <w:szCs w:val="24"/>
        </w:rPr>
      </w:pPr>
      <w:r>
        <w:rPr>
          <w:szCs w:val="24"/>
        </w:rPr>
        <w:t>2020 m. sausio 22 d. įsakymo Nr. 1K-8 redakcija)</w:t>
      </w:r>
    </w:p>
    <w:p w14:paraId="701D8F0B" w14:textId="77777777" w:rsidR="004A5DE6" w:rsidRDefault="004A5DE6">
      <w:pPr>
        <w:jc w:val="both"/>
        <w:rPr>
          <w:szCs w:val="24"/>
        </w:rPr>
      </w:pPr>
    </w:p>
    <w:p w14:paraId="390595D4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VALDŽIOS SEKTORIAUS SUBJEKTŲ APSKAITOS DUOMENŲ TEIKIMO FINANSŲ</w:t>
      </w:r>
      <w:r>
        <w:rPr>
          <w:b/>
          <w:szCs w:val="24"/>
        </w:rPr>
        <w:t xml:space="preserve"> MINISTERIJAI IR SKELBIMO TAISYKLĖS</w:t>
      </w:r>
    </w:p>
    <w:p w14:paraId="2651B105" w14:textId="77777777" w:rsidR="004A5DE6" w:rsidRDefault="004A5DE6">
      <w:pPr>
        <w:jc w:val="center"/>
        <w:rPr>
          <w:b/>
          <w:szCs w:val="24"/>
        </w:rPr>
      </w:pPr>
    </w:p>
    <w:p w14:paraId="2700DFD7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 SKYRIUS</w:t>
      </w:r>
    </w:p>
    <w:p w14:paraId="6797F878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4C240ABB" w14:textId="77777777" w:rsidR="004A5DE6" w:rsidRDefault="004A5DE6">
      <w:pPr>
        <w:jc w:val="both"/>
        <w:rPr>
          <w:szCs w:val="24"/>
        </w:rPr>
      </w:pPr>
    </w:p>
    <w:p w14:paraId="1DBC7A6F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Valdžios sektoriaus subjektų apskaitos duomenų teikimo Finansų ministerijai ir skelbimo taisyklėse (toliau – taisyklės) reglamentuojama valdžios sektoriaus subjektų apskaitos </w:t>
      </w:r>
      <w:r>
        <w:rPr>
          <w:szCs w:val="24"/>
        </w:rPr>
        <w:t xml:space="preserve">duomenų teikimo Lietuvos Respublikos finansų ministerijai tvarka bei terminai ir apskaitos duomenų skelbimo tvarka. </w:t>
      </w:r>
      <w:r>
        <w:rPr>
          <w:szCs w:val="24"/>
        </w:rPr>
        <w:tab/>
      </w:r>
    </w:p>
    <w:p w14:paraId="62B1A746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Taisyklėse vartojamos sąvokos suprantamos taip, kaip jos apibrėžtos Lietuvos Respublikos viešojo sektoriaus atskaitomybės įstatyme </w:t>
      </w:r>
      <w:r>
        <w:rPr>
          <w:szCs w:val="24"/>
        </w:rPr>
        <w:t>ir Lietuvos Respublikos valstybės turto valdymo, naudojimo ir disponavimo juo įstatyme.</w:t>
      </w:r>
    </w:p>
    <w:p w14:paraId="546B160D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Vadovaujantis 2013 m. gegužės 21 d. Europos Parlamento ir Tarybos reglamento (ES) Nr. 549/2013 dėl Europos nacionalinių ir regioninių sąskaitų sistemos Europos </w:t>
      </w:r>
      <w:r>
        <w:rPr>
          <w:szCs w:val="24"/>
        </w:rPr>
        <w:t>Sąjungoje (OL 2013 L 174, p. 1) nuostatomis ir Oficialiosios statistikos portale skelbiamu Veikiančių ūkio subjektų, priskiriamų valdžios instituciniam sektoriui, sąrašu valdžios sektoriaus subjektams priskiriami subjektai:</w:t>
      </w:r>
    </w:p>
    <w:p w14:paraId="2B39C099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centrinės valdžios subjek</w:t>
      </w:r>
      <w:r>
        <w:rPr>
          <w:szCs w:val="24"/>
        </w:rPr>
        <w:t>tai:</w:t>
      </w:r>
    </w:p>
    <w:p w14:paraId="619E792F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3.1.1</w:t>
      </w:r>
      <w:r>
        <w:rPr>
          <w:szCs w:val="24"/>
        </w:rPr>
        <w:t>. biudžetinės įstaigos, kurių vadovai yra valstybės biudžeto asignavimų valdytojai;</w:t>
      </w:r>
      <w:r>
        <w:t xml:space="preserve"> </w:t>
      </w:r>
    </w:p>
    <w:p w14:paraId="179BE47B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3.1.2</w:t>
      </w:r>
      <w:r>
        <w:rPr>
          <w:szCs w:val="24"/>
        </w:rPr>
        <w:t>. valstybės išteklių fondai, išskyrus socialinės apsaugos fondus:</w:t>
      </w:r>
    </w:p>
    <w:p w14:paraId="52990572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3.1.2.1</w:t>
      </w:r>
      <w:r>
        <w:rPr>
          <w:szCs w:val="24"/>
        </w:rPr>
        <w:t>. Rezervinis (stabilizavimo) fondas;</w:t>
      </w:r>
    </w:p>
    <w:p w14:paraId="5372BA2F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3.1.2.2</w:t>
      </w:r>
      <w:r>
        <w:rPr>
          <w:szCs w:val="24"/>
        </w:rPr>
        <w:t>. kiti išteklių fondai;</w:t>
      </w:r>
    </w:p>
    <w:p w14:paraId="735D79C2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3.1.3</w:t>
      </w:r>
      <w:r>
        <w:rPr>
          <w:szCs w:val="24"/>
        </w:rPr>
        <w:t>. viešosios įstaigos, kurios yra viešojo sektoriaus subjektai;</w:t>
      </w:r>
    </w:p>
    <w:p w14:paraId="6414FBC3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3.1.4</w:t>
      </w:r>
      <w:r>
        <w:rPr>
          <w:szCs w:val="24"/>
        </w:rPr>
        <w:t>. viešosios įstaigos, kurios nėra viešojo sektoriaus subjektai;</w:t>
      </w:r>
    </w:p>
    <w:p w14:paraId="140B6473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3.1.5</w:t>
      </w:r>
      <w:r>
        <w:rPr>
          <w:szCs w:val="24"/>
        </w:rPr>
        <w:t>. valstybės valdomos įmonės;</w:t>
      </w:r>
    </w:p>
    <w:p w14:paraId="141945E1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socialinės apsaugos fondai:</w:t>
      </w:r>
    </w:p>
    <w:p w14:paraId="289A81C3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3.2.1</w:t>
      </w:r>
      <w:r>
        <w:rPr>
          <w:szCs w:val="24"/>
        </w:rPr>
        <w:t>. Valstybinio socialinio dra</w:t>
      </w:r>
      <w:r>
        <w:rPr>
          <w:szCs w:val="24"/>
        </w:rPr>
        <w:t>udimo fondas;</w:t>
      </w:r>
    </w:p>
    <w:p w14:paraId="4A70D215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3.2.2</w:t>
      </w:r>
      <w:r>
        <w:rPr>
          <w:szCs w:val="24"/>
        </w:rPr>
        <w:t>. Privalomojo sveikatos draudimo fondas;</w:t>
      </w:r>
    </w:p>
    <w:p w14:paraId="65384AF7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3.2.3</w:t>
      </w:r>
      <w:r>
        <w:rPr>
          <w:szCs w:val="24"/>
        </w:rPr>
        <w:t>. Garantinis fondas;</w:t>
      </w:r>
    </w:p>
    <w:p w14:paraId="3BA0CFAE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3.2.4</w:t>
      </w:r>
      <w:r>
        <w:rPr>
          <w:szCs w:val="24"/>
        </w:rPr>
        <w:t>. Ilgalaikio darbo išmokų fondas;</w:t>
      </w:r>
    </w:p>
    <w:p w14:paraId="234C19E8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3.2.5</w:t>
      </w:r>
      <w:r>
        <w:rPr>
          <w:szCs w:val="24"/>
        </w:rPr>
        <w:t>. kiti fondai, susiję su socialine apsauga;</w:t>
      </w:r>
    </w:p>
    <w:p w14:paraId="398AAF00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 vietos valdžios subjektai:</w:t>
      </w:r>
    </w:p>
    <w:p w14:paraId="1868650D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3.3.1</w:t>
      </w:r>
      <w:r>
        <w:rPr>
          <w:szCs w:val="24"/>
        </w:rPr>
        <w:t xml:space="preserve">. biudžetinės </w:t>
      </w:r>
      <w:r>
        <w:rPr>
          <w:szCs w:val="24"/>
        </w:rPr>
        <w:t>įstaigos, kurių vadovai yra savivaldybės biudžeto asignavimų valdytojai;</w:t>
      </w:r>
    </w:p>
    <w:p w14:paraId="77F95339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3.3.2</w:t>
      </w:r>
      <w:r>
        <w:rPr>
          <w:szCs w:val="24"/>
        </w:rPr>
        <w:t>. viešosios įstaigos, kurios yra viešojo sektoriaus subjektai;</w:t>
      </w:r>
    </w:p>
    <w:p w14:paraId="32FAB80E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3.3.3</w:t>
      </w:r>
      <w:r>
        <w:rPr>
          <w:szCs w:val="24"/>
        </w:rPr>
        <w:t>. viešosios įstaigos, kurios nėra viešojo sektoriaus subjektai;</w:t>
      </w:r>
    </w:p>
    <w:p w14:paraId="5773BEC9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3.3.4</w:t>
      </w:r>
      <w:r>
        <w:rPr>
          <w:szCs w:val="24"/>
        </w:rPr>
        <w:t xml:space="preserve">. savivaldybių valdomos </w:t>
      </w:r>
      <w:r>
        <w:rPr>
          <w:szCs w:val="24"/>
        </w:rPr>
        <w:t>įmonės.</w:t>
      </w:r>
    </w:p>
    <w:p w14:paraId="0E6B0CB9" w14:textId="77777777" w:rsidR="004A5DE6" w:rsidRDefault="004244DD">
      <w:pPr>
        <w:jc w:val="center"/>
        <w:rPr>
          <w:b/>
          <w:szCs w:val="24"/>
        </w:rPr>
      </w:pPr>
    </w:p>
    <w:p w14:paraId="3BD3D7AB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49059961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APSKAITOS DUOMENŲ TEIKIMO TVARKA IR TERMINAI</w:t>
      </w:r>
    </w:p>
    <w:p w14:paraId="76DA0B68" w14:textId="77777777" w:rsidR="004A5DE6" w:rsidRDefault="004A5DE6">
      <w:pPr>
        <w:jc w:val="both"/>
        <w:rPr>
          <w:szCs w:val="24"/>
        </w:rPr>
      </w:pPr>
    </w:p>
    <w:p w14:paraId="25F48793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Finansų ministerijai apskaitos duomenis, užpildydami taisyklių 1 priede nurodytą formą, teikia: </w:t>
      </w:r>
      <w:r>
        <w:rPr>
          <w:szCs w:val="24"/>
        </w:rPr>
        <w:tab/>
      </w:r>
    </w:p>
    <w:p w14:paraId="3101D05F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>. subjektai, nurodyti taisyklių 3.1.2–3.1.5 ir 3.2 papunkčiuose, pasib</w:t>
      </w:r>
      <w:r>
        <w:rPr>
          <w:szCs w:val="24"/>
        </w:rPr>
        <w:t>aigus atitinkamam mėnesiui per 26 dienas (pateiktus duomenis galima tikslinti per du ataskaitinius mėnesius);</w:t>
      </w:r>
    </w:p>
    <w:p w14:paraId="2DA3884E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 vietos valdžios subjektai, nurodyti taisyklių 3.3.2–3.3.4 papunkčiuose, pasibaigus atitinkamam ketvirčiui per 60 dienų.</w:t>
      </w:r>
    </w:p>
    <w:p w14:paraId="75B0F039" w14:textId="530B1D75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Taisykli</w:t>
      </w:r>
      <w:r>
        <w:rPr>
          <w:szCs w:val="24"/>
        </w:rPr>
        <w:t xml:space="preserve">ų 2 priede nurodytai formai, kurią automatiškai suformuoja Viešojo sektoriaus apskaitos ir ataskaitų konsolidavimo informacinė sistema (toliau - VSAKIS), užpildyti naudojami valstybės biudžetinių įstaigų biudžeto vykdymo ataskaitų duomenys, teikiami pagal </w:t>
      </w:r>
      <w:r>
        <w:rPr>
          <w:szCs w:val="24"/>
        </w:rPr>
        <w:t>Valstybės ir savivaldybių biudžetinių įstaigų ir kitų subjektų žemesniojo lygio biudžeto vykdymo ataskaitų sudarymo taisykles, patvirtintas Lietuvos Respublikos finansų ministro 2008 m. gruodžio 31 d. įsakymu Nr. 1K-465 „Dėl Valstybės ir savivaldybių biudž</w:t>
      </w:r>
      <w:r>
        <w:rPr>
          <w:szCs w:val="24"/>
        </w:rPr>
        <w:t xml:space="preserve">etinių įstaigų ir kitų subjektų žemesniojo lygio biudžeto vykdymo ataskaitų sudarymo taisyklių ir formų patvirtinimo“, o taisyklių 3 priede nurodytai formai, kurią automatiškai suformuoja VSAKIS, užpildyti naudojami savivaldybių biudžetų vykdymo ataskaitų </w:t>
      </w:r>
      <w:r>
        <w:rPr>
          <w:szCs w:val="24"/>
        </w:rPr>
        <w:t>duomenys, teikiami pagal Savivaldybės biudžeto vykdymo ataskaitų rinkinio</w:t>
      </w:r>
      <w:r>
        <w:t xml:space="preserve"> </w:t>
      </w:r>
      <w:r>
        <w:rPr>
          <w:szCs w:val="24"/>
        </w:rPr>
        <w:t>ir skolinių įsipareigojimų ataskaitos teikimo Finansų ministerijai taisykles, patvirtintas Lietuvos Respublikos finansų ministro 2011 m. lapkričio 11 d. įsakymu Nr. 1K-361 „</w:t>
      </w:r>
      <w:proofErr w:type="spellStart"/>
      <w:r>
        <w:rPr>
          <w:szCs w:val="24"/>
        </w:rPr>
        <w:t>Dėl</w:t>
      </w:r>
      <w:r>
        <w:rPr>
          <w:szCs w:val="24"/>
        </w:rPr>
        <w:t>Saviv</w:t>
      </w:r>
      <w:r>
        <w:rPr>
          <w:szCs w:val="24"/>
        </w:rPr>
        <w:t>aldybės</w:t>
      </w:r>
      <w:proofErr w:type="spellEnd"/>
      <w:r>
        <w:rPr>
          <w:szCs w:val="24"/>
        </w:rPr>
        <w:t xml:space="preserve"> biudžeto vykdymo ataskaitų rinkinio</w:t>
      </w:r>
      <w:r>
        <w:t xml:space="preserve"> </w:t>
      </w:r>
      <w:r>
        <w:rPr>
          <w:szCs w:val="24"/>
        </w:rPr>
        <w:t>ir skolinių įsipareigojimų ataskaitos teikimo Finansų ministerijai taisyklių ir ataskaitų formų patvirtinimo“.</w:t>
      </w:r>
    </w:p>
    <w:p w14:paraId="1FFCBD62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 Lietuvos statistikos departamentas informaciją pagal taisyklių 4–8 prieduose nurodytas formas</w:t>
      </w:r>
      <w:r>
        <w:rPr>
          <w:szCs w:val="24"/>
        </w:rPr>
        <w:t xml:space="preserve"> teikia Finansų ministerijai Lietuvos Respublikos Vyriausybės 2013 m. gruodžio 4 d. nutarimo Nr. 1129 „Dėl valdžios sektoriaus apskaitos duomenų teikimo“ 3.2 papunktyje nustatytais terminais. Finansų ministerija Lietuvos statistikos departamentui kasmet ik</w:t>
      </w:r>
      <w:r>
        <w:rPr>
          <w:szCs w:val="24"/>
        </w:rPr>
        <w:t>i spalio 22 dienos teikia duomenis taisyklių 4, 6 ir 7 prieduose nurodytoms formoms užpildyti.</w:t>
      </w:r>
    </w:p>
    <w:p w14:paraId="3DFA2A0D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Pasibaigus atitinkamam ketvirčiui per 50 dienų Finansų ministerijai teikia:</w:t>
      </w:r>
    </w:p>
    <w:p w14:paraId="412BF935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 xml:space="preserve">. subjektai, nurodyti taisyklių 3.1.1 ir 3.3.1 papunkčiuose, – užpildytą </w:t>
      </w:r>
      <w:r>
        <w:rPr>
          <w:szCs w:val="24"/>
        </w:rPr>
        <w:t>taisyklių 9 priede nurodytą formą;</w:t>
      </w:r>
    </w:p>
    <w:p w14:paraId="4F0440D7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>. subjektai, nurodyti taisyklių 3.3.1 papunktyje, – užpildytą taisyklių 10 priede nurodytą formą;</w:t>
      </w:r>
    </w:p>
    <w:p w14:paraId="71386918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</w:t>
      </w:r>
      <w:r>
        <w:rPr>
          <w:szCs w:val="24"/>
        </w:rPr>
        <w:t>. subjektai, nurodyti taisyklių 3.1.3 ir 3.3.2 papunkčiuose, – iš tarpinių finansinių ataskaitų rinkinių, par</w:t>
      </w:r>
      <w:r>
        <w:rPr>
          <w:szCs w:val="24"/>
        </w:rPr>
        <w:t>engtų vadovaujantis 23-iuoju viešojo sektoriaus apskaitos ir finansinės atskaitomybės standartu „Tarpinių finansinių ataskaitų rinkinys“, patvirtintu Lietuvos Respublikos finansų ministro 2008 m. birželio 11 d. įsakymu Nr. 1K-213 „Dėl viešojo sektoriaus ap</w:t>
      </w:r>
      <w:r>
        <w:rPr>
          <w:szCs w:val="24"/>
        </w:rPr>
        <w:t>skaitos ir finansinės atskaitomybės 23-iojo standarto patvirtinimo“:</w:t>
      </w:r>
    </w:p>
    <w:p w14:paraId="1C24BAA0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7.3.1</w:t>
      </w:r>
      <w:r>
        <w:rPr>
          <w:szCs w:val="24"/>
        </w:rPr>
        <w:t>. informaciją apie finansavimo sumas;</w:t>
      </w:r>
    </w:p>
    <w:p w14:paraId="48185E2C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7.3.2</w:t>
      </w:r>
      <w:r>
        <w:rPr>
          <w:szCs w:val="24"/>
        </w:rPr>
        <w:t>. veiklos rezultatų ataskaitą;</w:t>
      </w:r>
    </w:p>
    <w:p w14:paraId="69E193DA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7.3.3</w:t>
      </w:r>
      <w:r>
        <w:rPr>
          <w:szCs w:val="24"/>
        </w:rPr>
        <w:t>. finansinės būklės ataskaitą;</w:t>
      </w:r>
    </w:p>
    <w:p w14:paraId="0DF1F22F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7.3.4</w:t>
      </w:r>
      <w:r>
        <w:rPr>
          <w:szCs w:val="24"/>
        </w:rPr>
        <w:t xml:space="preserve">. informaciją apie: </w:t>
      </w:r>
    </w:p>
    <w:p w14:paraId="15E49C57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7.3.4.1</w:t>
      </w:r>
      <w:r>
        <w:rPr>
          <w:szCs w:val="24"/>
        </w:rPr>
        <w:t>. finansinės ir investi</w:t>
      </w:r>
      <w:r>
        <w:rPr>
          <w:szCs w:val="24"/>
        </w:rPr>
        <w:t>cinės veiklos pajamas ir sąnaudas;</w:t>
      </w:r>
    </w:p>
    <w:p w14:paraId="7E4E6FF9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7.3.4.2</w:t>
      </w:r>
      <w:r>
        <w:rPr>
          <w:szCs w:val="24"/>
        </w:rPr>
        <w:t>. atsargų vertės pasikeitimą per ataskaitinį laikotarpį;</w:t>
      </w:r>
    </w:p>
    <w:p w14:paraId="222A9068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7.3.4.3</w:t>
      </w:r>
      <w:r>
        <w:rPr>
          <w:szCs w:val="24"/>
        </w:rPr>
        <w:t>. ilgalaikio materialiojo turto balansinės vertės pasikeitimą per ataskaitinį laikotarpį;</w:t>
      </w:r>
    </w:p>
    <w:p w14:paraId="55F29D4D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7.3.4.4</w:t>
      </w:r>
      <w:r>
        <w:rPr>
          <w:szCs w:val="24"/>
        </w:rPr>
        <w:t xml:space="preserve">. nematerialiojo turto balansinės vertės </w:t>
      </w:r>
      <w:r>
        <w:rPr>
          <w:szCs w:val="24"/>
        </w:rPr>
        <w:t>pasikeitimą per ataskaitinį laikotarpį.</w:t>
      </w:r>
    </w:p>
    <w:p w14:paraId="578983AA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Apskaitos duomenys pagal taisyklių 1, 9 ir 10 prieduose nurodytas formas teikiami per VSAKIS. </w:t>
      </w:r>
    </w:p>
    <w:p w14:paraId="518CF1CA" w14:textId="77777777" w:rsidR="004A5DE6" w:rsidRDefault="004244DD">
      <w:pPr>
        <w:ind w:firstLine="720"/>
        <w:jc w:val="both"/>
        <w:rPr>
          <w:szCs w:val="24"/>
        </w:rPr>
      </w:pPr>
    </w:p>
    <w:p w14:paraId="2724B4D7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463A6982" w14:textId="77777777" w:rsidR="004A5DE6" w:rsidRDefault="004244DD">
      <w:pPr>
        <w:jc w:val="center"/>
        <w:rPr>
          <w:b/>
          <w:szCs w:val="24"/>
        </w:rPr>
      </w:pPr>
      <w:r>
        <w:rPr>
          <w:b/>
          <w:szCs w:val="24"/>
        </w:rPr>
        <w:t>APSKAITOS DUOMENŲ SKELBIMAS</w:t>
      </w:r>
    </w:p>
    <w:p w14:paraId="49EE6C0E" w14:textId="77777777" w:rsidR="004A5DE6" w:rsidRDefault="004A5DE6">
      <w:pPr>
        <w:jc w:val="both"/>
        <w:rPr>
          <w:szCs w:val="24"/>
        </w:rPr>
      </w:pPr>
    </w:p>
    <w:p w14:paraId="5AB42808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Finansų ministerija savo interneto svetainėje skelbia</w:t>
      </w:r>
      <w:r>
        <w:rPr>
          <w:szCs w:val="24"/>
        </w:rPr>
        <w:t>:</w:t>
      </w:r>
    </w:p>
    <w:p w14:paraId="4C7097AB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>. subjektų, nurodytų taisyklių 3.1 ir 3.2 papunkčiuose, mėnesio apskaitos duomenis pagal taisyklių 2 priede nurodytą formą pasibaigus mėnesiui per 30 dienų;</w:t>
      </w:r>
    </w:p>
    <w:p w14:paraId="16775005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>. subjektų, nurodytų taisyklių 3.3 papunktyje, ketvirčio apskaitos duomenis pagal tai</w:t>
      </w:r>
      <w:r>
        <w:rPr>
          <w:szCs w:val="24"/>
        </w:rPr>
        <w:t>syklių 3 priede nurodytą formą pasibaigus ketvirčiui per 90 dienų;</w:t>
      </w:r>
    </w:p>
    <w:p w14:paraId="7A457B92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9.3</w:t>
      </w:r>
      <w:r>
        <w:rPr>
          <w:szCs w:val="24"/>
        </w:rPr>
        <w:t>. Lietuvos statistikos departamento Finansų ministerijai pateiktą informaciją pagal taisyklių 4–8 prieduose nurodytas formas per 3 darbo dienas nuo šios informacijos gavimo dienos.</w:t>
      </w:r>
    </w:p>
    <w:p w14:paraId="56A2933D" w14:textId="77777777" w:rsidR="004A5DE6" w:rsidRDefault="004244DD">
      <w:pPr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Lietuvos statistikos departamentas, pasikeitus taisyklių 9.3 papunktyje nurodytai informacijai, atsiunčia Finansų ministerijai atnaujintą informaciją, o Finansų ministerija šią informaciją per 3 darbo dienas paskelbia savo interneto svetainėje.</w:t>
      </w:r>
    </w:p>
    <w:p w14:paraId="35F76719" w14:textId="77777777" w:rsidR="004A5DE6" w:rsidRDefault="004244DD">
      <w:pPr>
        <w:jc w:val="both"/>
        <w:rPr>
          <w:szCs w:val="24"/>
        </w:rPr>
      </w:pPr>
    </w:p>
    <w:p w14:paraId="54AE1A7D" w14:textId="6C75F02C" w:rsidR="004A5DE6" w:rsidRDefault="004244DD" w:rsidP="004244DD">
      <w:pPr>
        <w:jc w:val="center"/>
        <w:rPr>
          <w:sz w:val="20"/>
          <w:lang w:eastAsia="lt-LT"/>
        </w:rPr>
      </w:pPr>
      <w:r>
        <w:rPr>
          <w:szCs w:val="24"/>
        </w:rPr>
        <w:t>________________</w:t>
      </w:r>
    </w:p>
    <w:bookmarkStart w:id="0" w:name="_GoBack" w:displacedByCustomXml="next"/>
    <w:bookmarkEnd w:id="0" w:displacedByCustomXml="next"/>
    <w:sectPr w:rsidR="004A5DE6" w:rsidSect="004244DD">
      <w:pgSz w:w="11906" w:h="16838" w:code="9"/>
      <w:pgMar w:top="851" w:right="567" w:bottom="851" w:left="1701" w:header="560" w:footer="686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1A82" w14:textId="77777777" w:rsidR="004A5DE6" w:rsidRDefault="004244D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4AE1A83" w14:textId="77777777" w:rsidR="004A5DE6" w:rsidRDefault="004244D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8" w14:textId="77777777" w:rsidR="004A5DE6" w:rsidRDefault="004A5DE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9" w14:textId="77777777" w:rsidR="004A5DE6" w:rsidRDefault="004A5DE6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C" w14:textId="77777777" w:rsidR="004A5DE6" w:rsidRDefault="004A5DE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1A80" w14:textId="77777777" w:rsidR="004A5DE6" w:rsidRDefault="004244D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4AE1A81" w14:textId="77777777" w:rsidR="004A5DE6" w:rsidRDefault="004244D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4" w14:textId="77777777" w:rsidR="004A5DE6" w:rsidRDefault="004244D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4AE1A85" w14:textId="77777777" w:rsidR="004A5DE6" w:rsidRDefault="004A5DE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6" w14:textId="77777777" w:rsidR="004A5DE6" w:rsidRDefault="004244D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4AE1A87" w14:textId="77777777" w:rsidR="004A5DE6" w:rsidRDefault="004A5DE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A8A" w14:textId="77777777" w:rsidR="004A5DE6" w:rsidRDefault="004A5DE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0"/>
    <w:rsid w:val="004244DD"/>
    <w:rsid w:val="004A5DE6"/>
    <w:rsid w:val="009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6991</Characters>
  <Application>Microsoft Office Word</Application>
  <DocSecurity>0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7927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2020-01-22T14:22:00Z</dcterms:created>
  <dc:creator>Gedminė Joniūnė</dc:creator>
  <lastModifiedBy>ŠAULYTĖ SKAIRIENĖ Dalia</lastModifiedBy>
  <lastPrinted>2008-12-29T11:20:00Z</lastPrinted>
  <dcterms:modified xsi:type="dcterms:W3CDTF">2020-01-22T14:27:00Z</dcterms:modified>
  <revision>3</revision>
</coreProperties>
</file>