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E158" w14:textId="1F74616E" w:rsidR="00884A1B" w:rsidRPr="009B0991" w:rsidRDefault="009B0991" w:rsidP="001C7A6D">
      <w:pPr>
        <w:tabs>
          <w:tab w:val="center" w:pos="4252"/>
          <w:tab w:val="right" w:pos="8504"/>
        </w:tabs>
        <w:overflowPunct w:val="0"/>
        <w:jc w:val="center"/>
        <w:textAlignment w:val="baseline"/>
        <w:rPr>
          <w:sz w:val="20"/>
          <w:lang w:val="en-GB"/>
        </w:rPr>
      </w:pPr>
      <w:r w:rsidRPr="009B0991">
        <w:rPr>
          <w:sz w:val="20"/>
          <w:lang w:val="en-GB"/>
        </w:rPr>
        <w:object w:dxaOrig="4534" w:dyaOrig="2214" w14:anchorId="72FFE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9pt" o:ole="">
            <v:imagedata r:id="rId8" o:title=""/>
          </v:shape>
          <o:OLEObject Type="Embed" ProgID="CorelDRAW.Graphic.10" ShapeID="_x0000_i1025" DrawAspect="Content" ObjectID="_1518436002" r:id="rId9"/>
        </w:object>
      </w:r>
    </w:p>
    <w:p w14:paraId="72FFE159" w14:textId="77777777" w:rsidR="00884A1B" w:rsidRPr="009B0991" w:rsidRDefault="00884A1B" w:rsidP="001C7A6D">
      <w:pPr>
        <w:tabs>
          <w:tab w:val="center" w:pos="4252"/>
          <w:tab w:val="right" w:pos="8504"/>
        </w:tabs>
        <w:overflowPunct w:val="0"/>
        <w:jc w:val="center"/>
        <w:textAlignment w:val="baseline"/>
        <w:rPr>
          <w:sz w:val="16"/>
          <w:szCs w:val="16"/>
          <w:lang w:val="en-GB"/>
        </w:rPr>
      </w:pPr>
    </w:p>
    <w:p w14:paraId="72FFE15A" w14:textId="77777777" w:rsidR="00884A1B" w:rsidRPr="009B0991" w:rsidRDefault="009B0991" w:rsidP="001C7A6D">
      <w:pPr>
        <w:tabs>
          <w:tab w:val="center" w:pos="4252"/>
          <w:tab w:val="right" w:pos="8504"/>
        </w:tabs>
        <w:overflowPunct w:val="0"/>
        <w:jc w:val="center"/>
        <w:textAlignment w:val="baseline"/>
        <w:rPr>
          <w:sz w:val="26"/>
          <w:szCs w:val="26"/>
          <w:lang w:val="en-GB"/>
        </w:rPr>
      </w:pPr>
      <w:r w:rsidRPr="009B0991">
        <w:rPr>
          <w:b/>
          <w:bCs/>
          <w:spacing w:val="20"/>
          <w:sz w:val="26"/>
          <w:szCs w:val="26"/>
          <w:lang w:val="en-GB"/>
        </w:rPr>
        <w:t>CIVILINĖS AVIACIJOS ADMINISTRACIJOS</w:t>
      </w:r>
    </w:p>
    <w:p w14:paraId="72FFE15B" w14:textId="77777777" w:rsidR="00884A1B" w:rsidRPr="009B0991" w:rsidRDefault="009B0991" w:rsidP="001C7A6D">
      <w:pPr>
        <w:jc w:val="center"/>
        <w:rPr>
          <w:b/>
          <w:szCs w:val="24"/>
        </w:rPr>
      </w:pPr>
      <w:r w:rsidRPr="009B0991">
        <w:rPr>
          <w:b/>
          <w:szCs w:val="24"/>
        </w:rPr>
        <w:t>DIREKTORIUS</w:t>
      </w:r>
    </w:p>
    <w:p w14:paraId="0C5853E0" w14:textId="77777777" w:rsidR="001C7A6D" w:rsidRDefault="001C7A6D" w:rsidP="001C7A6D">
      <w:pPr>
        <w:jc w:val="center"/>
        <w:rPr>
          <w:b/>
          <w:bCs/>
          <w:szCs w:val="24"/>
        </w:rPr>
      </w:pPr>
    </w:p>
    <w:p w14:paraId="72FFE15E" w14:textId="77777777" w:rsidR="00884A1B" w:rsidRPr="009B0991" w:rsidRDefault="009B0991" w:rsidP="001C7A6D">
      <w:pPr>
        <w:jc w:val="center"/>
        <w:rPr>
          <w:b/>
          <w:bCs/>
          <w:szCs w:val="24"/>
        </w:rPr>
      </w:pPr>
      <w:r w:rsidRPr="009B0991">
        <w:rPr>
          <w:b/>
          <w:bCs/>
          <w:szCs w:val="24"/>
        </w:rPr>
        <w:t>ĮSAKYMAS</w:t>
      </w:r>
    </w:p>
    <w:p w14:paraId="72FFE15F" w14:textId="77777777" w:rsidR="00884A1B" w:rsidRPr="009B0991" w:rsidRDefault="009B0991" w:rsidP="001C7A6D">
      <w:pPr>
        <w:keepLines/>
        <w:suppressAutoHyphens/>
        <w:jc w:val="center"/>
        <w:textAlignment w:val="center"/>
        <w:rPr>
          <w:b/>
          <w:bCs/>
          <w:caps/>
          <w:color w:val="000000"/>
          <w:szCs w:val="24"/>
        </w:rPr>
      </w:pPr>
      <w:r w:rsidRPr="009B0991">
        <w:rPr>
          <w:b/>
          <w:bCs/>
          <w:caps/>
          <w:color w:val="000000"/>
          <w:szCs w:val="24"/>
        </w:rPr>
        <w:t>DĖL CIVILINĖS AVIACIJOS ADMINISTRACIJOS 2012 M. VASARIO 1 D. ĮSAKYMO NR. 4R-31 „DĖL SKRYDŽIŲ VYKDYMO VADOVO TVIRTINIMO TVARKOS APRAŠO PATVIRTINIMO“ PAKEITIMO</w:t>
      </w:r>
    </w:p>
    <w:p w14:paraId="72FFE161" w14:textId="77777777" w:rsidR="00884A1B" w:rsidRPr="009B0991" w:rsidRDefault="00884A1B" w:rsidP="001C7A6D"/>
    <w:p w14:paraId="72FFE162" w14:textId="77777777" w:rsidR="00884A1B" w:rsidRPr="009B0991" w:rsidRDefault="009B0991" w:rsidP="001C7A6D">
      <w:pPr>
        <w:tabs>
          <w:tab w:val="left" w:pos="4608"/>
          <w:tab w:val="left" w:pos="5328"/>
        </w:tabs>
        <w:jc w:val="center"/>
        <w:rPr>
          <w:szCs w:val="24"/>
        </w:rPr>
      </w:pPr>
      <w:r w:rsidRPr="009B0991">
        <w:rPr>
          <w:szCs w:val="24"/>
        </w:rPr>
        <w:t>2014 vasario 24 d. Nr. 4R-32</w:t>
      </w:r>
    </w:p>
    <w:p w14:paraId="72FFE163" w14:textId="77777777" w:rsidR="00884A1B" w:rsidRPr="009B0991" w:rsidRDefault="009B0991" w:rsidP="001C7A6D">
      <w:pPr>
        <w:jc w:val="center"/>
        <w:rPr>
          <w:szCs w:val="24"/>
        </w:rPr>
      </w:pPr>
      <w:r w:rsidRPr="009B0991">
        <w:rPr>
          <w:szCs w:val="24"/>
        </w:rPr>
        <w:t>Vilnius</w:t>
      </w:r>
    </w:p>
    <w:p w14:paraId="72FFE164" w14:textId="77777777" w:rsidR="00884A1B" w:rsidRPr="009B0991" w:rsidRDefault="00884A1B" w:rsidP="001C7A6D"/>
    <w:p w14:paraId="72FFE165" w14:textId="77777777" w:rsidR="00884A1B" w:rsidRPr="009B0991" w:rsidRDefault="00884A1B" w:rsidP="001C7A6D">
      <w:pPr>
        <w:jc w:val="both"/>
        <w:rPr>
          <w:szCs w:val="24"/>
        </w:rPr>
      </w:pPr>
    </w:p>
    <w:p w14:paraId="72FFE166" w14:textId="77777777" w:rsidR="00884A1B" w:rsidRPr="009B0991" w:rsidRDefault="009B0991">
      <w:pPr>
        <w:ind w:firstLine="720"/>
        <w:jc w:val="both"/>
        <w:rPr>
          <w:szCs w:val="24"/>
        </w:rPr>
      </w:pPr>
      <w:r w:rsidRPr="009B0991">
        <w:rPr>
          <w:szCs w:val="24"/>
        </w:rPr>
        <w:t xml:space="preserve">P a k e i č i u  Skrydžių vykdymo vadovo tvirtinimo tvarkos aprašo, patvirtinto Civilinės aviacijos administracijos direktoriaus </w:t>
      </w:r>
      <w:smartTag w:uri="schemas-tilde-lv/tildestengine" w:element="metric2">
        <w:smartTagPr>
          <w:attr w:name="metric_text" w:val="m"/>
          <w:attr w:name="metric_value" w:val="2012"/>
        </w:smartTagPr>
        <w:r w:rsidRPr="009B0991">
          <w:rPr>
            <w:szCs w:val="24"/>
          </w:rPr>
          <w:t>2012 m</w:t>
        </w:r>
      </w:smartTag>
      <w:r w:rsidRPr="009B0991">
        <w:rPr>
          <w:szCs w:val="24"/>
        </w:rPr>
        <w:t xml:space="preserve">. vasario 1 d. įsakymu Nr. 4R-31 „Dėl skrydžių vykdymo vadovo tvirtinimo tvarkos aprašo patvirtinimo“, 7.2 punktą ir išdėstau jį taip: </w:t>
      </w:r>
    </w:p>
    <w:p w14:paraId="72FFE16A" w14:textId="18526908" w:rsidR="00884A1B" w:rsidRPr="009B0991" w:rsidRDefault="009B0991" w:rsidP="001C7A6D">
      <w:pPr>
        <w:ind w:firstLine="720"/>
        <w:jc w:val="both"/>
        <w:rPr>
          <w:szCs w:val="24"/>
        </w:rPr>
      </w:pPr>
      <w:r w:rsidRPr="009B0991">
        <w:rPr>
          <w:szCs w:val="24"/>
        </w:rPr>
        <w:t>„</w:t>
      </w:r>
      <w:r w:rsidRPr="009B0991">
        <w:rPr>
          <w:szCs w:val="24"/>
        </w:rPr>
        <w:t>7.2</w:t>
      </w:r>
      <w:r w:rsidRPr="009B0991">
        <w:rPr>
          <w:szCs w:val="24"/>
        </w:rPr>
        <w:t>. naujo leidimo SVV dalis elektroniniu formatu pridedant išspausdintus ir atitinkamai vežėjo patvirtintus pakeitimų aprašo lapus (dviem egzemplioriais) arba, jeigu teikiamas SVV pakeitimas, atitinkamų SVV dalių lapus elektroniniu formatu, kuriuose atlikti pakeitimai, pridedant išspausdintus ir vežėjo patvirtintus pakeitimų aprašo lapus (dviem egzemplioriais). Per 5 dienas po SVV leidimo / revizijos patvirtinimo vežėjas turi pateikti CAA aktualaus leidimo SVV dalis elektroniniu formatu. Vežėjo teikiamų SVV dalių bylų pavadinimuose, laikantis eiliškumo principo, turi būti nurodyta: vežėjo ICAO kodas, SVV dalis, dalies skyriai (jei skaidoma), leidimo numeris, revizijos numeris, leidimo / revizijos data;“.</w:t>
      </w:r>
    </w:p>
    <w:p w14:paraId="39B24D91" w14:textId="77777777" w:rsidR="001C7A6D" w:rsidRDefault="001C7A6D">
      <w:pPr>
        <w:jc w:val="both"/>
      </w:pPr>
    </w:p>
    <w:p w14:paraId="799448BD" w14:textId="77777777" w:rsidR="001C7A6D" w:rsidRDefault="001C7A6D">
      <w:pPr>
        <w:jc w:val="both"/>
      </w:pPr>
    </w:p>
    <w:p w14:paraId="48B76236" w14:textId="77777777" w:rsidR="001C7A6D" w:rsidRDefault="001C7A6D">
      <w:pPr>
        <w:jc w:val="both"/>
      </w:pPr>
    </w:p>
    <w:p w14:paraId="72FFE16E" w14:textId="7CD33734" w:rsidR="00884A1B" w:rsidRPr="009B0991" w:rsidRDefault="009B0991" w:rsidP="001C7A6D">
      <w:pPr>
        <w:jc w:val="both"/>
        <w:rPr>
          <w:szCs w:val="24"/>
        </w:rPr>
      </w:pPr>
      <w:r w:rsidRPr="009B0991">
        <w:rPr>
          <w:szCs w:val="24"/>
        </w:rPr>
        <w:t>Direktorius</w:t>
      </w:r>
      <w:r w:rsidRPr="009B0991">
        <w:rPr>
          <w:szCs w:val="24"/>
        </w:rPr>
        <w:tab/>
      </w:r>
      <w:r w:rsidRPr="009B0991">
        <w:rPr>
          <w:szCs w:val="24"/>
        </w:rPr>
        <w:tab/>
      </w:r>
      <w:r w:rsidRPr="009B0991">
        <w:rPr>
          <w:szCs w:val="24"/>
        </w:rPr>
        <w:tab/>
      </w:r>
      <w:r w:rsidRPr="009B0991">
        <w:rPr>
          <w:szCs w:val="24"/>
        </w:rPr>
        <w:tab/>
      </w:r>
      <w:r w:rsidRPr="009B0991">
        <w:rPr>
          <w:szCs w:val="24"/>
        </w:rPr>
        <w:tab/>
      </w:r>
      <w:r w:rsidRPr="009B0991">
        <w:rPr>
          <w:szCs w:val="24"/>
        </w:rPr>
        <w:tab/>
      </w:r>
      <w:r w:rsidRPr="009B0991">
        <w:rPr>
          <w:szCs w:val="24"/>
        </w:rPr>
        <w:tab/>
        <w:t>Kęstutis Auryla</w:t>
      </w:r>
    </w:p>
    <w:bookmarkStart w:id="0" w:name="_GoBack" w:displacedByCustomXml="next"/>
    <w:bookmarkEnd w:id="0" w:displacedByCustomXml="next"/>
    <w:sectPr w:rsidR="00884A1B" w:rsidRPr="009B0991" w:rsidSect="001C7A6D">
      <w:headerReference w:type="even" r:id="rId10"/>
      <w:headerReference w:type="default" r:id="rId11"/>
      <w:footerReference w:type="even" r:id="rId12"/>
      <w:footerReference w:type="default" r:id="rId13"/>
      <w:headerReference w:type="first" r:id="rId14"/>
      <w:footerReference w:type="first" r:id="rId15"/>
      <w:pgSz w:w="11907" w:h="16840" w:code="9"/>
      <w:pgMar w:top="1134" w:right="709" w:bottom="1134" w:left="1701" w:header="357" w:footer="68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E172" w14:textId="77777777" w:rsidR="00884A1B" w:rsidRDefault="009B0991">
      <w:pPr>
        <w:ind w:firstLine="510"/>
        <w:jc w:val="both"/>
        <w:rPr>
          <w:szCs w:val="24"/>
        </w:rPr>
      </w:pPr>
      <w:r>
        <w:rPr>
          <w:szCs w:val="24"/>
        </w:rPr>
        <w:separator/>
      </w:r>
    </w:p>
  </w:endnote>
  <w:endnote w:type="continuationSeparator" w:id="0">
    <w:p w14:paraId="72FFE173" w14:textId="77777777" w:rsidR="00884A1B" w:rsidRDefault="009B0991">
      <w:pPr>
        <w:ind w:firstLine="510"/>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6"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7"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9"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E170" w14:textId="77777777" w:rsidR="00884A1B" w:rsidRDefault="009B0991">
      <w:pPr>
        <w:ind w:firstLine="510"/>
        <w:jc w:val="both"/>
        <w:rPr>
          <w:szCs w:val="24"/>
        </w:rPr>
      </w:pPr>
      <w:r>
        <w:rPr>
          <w:szCs w:val="24"/>
        </w:rPr>
        <w:separator/>
      </w:r>
    </w:p>
  </w:footnote>
  <w:footnote w:type="continuationSeparator" w:id="0">
    <w:p w14:paraId="72FFE171" w14:textId="77777777" w:rsidR="00884A1B" w:rsidRDefault="009B0991">
      <w:pPr>
        <w:ind w:firstLine="510"/>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4"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5"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E178" w14:textId="77777777" w:rsidR="00884A1B" w:rsidRDefault="00884A1B">
    <w:pPr>
      <w:tabs>
        <w:tab w:val="center" w:pos="4252"/>
        <w:tab w:val="right" w:pos="8504"/>
      </w:tabs>
      <w:overflowPunct w:val="0"/>
      <w:ind w:firstLine="510"/>
      <w:jc w:val="both"/>
      <w:textAlignment w:val="baseline"/>
      <w:rPr>
        <w:rFonts w:ascii="Arial" w:hAnsi="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 w:val="000A6D77"/>
    <w:rsid w:val="001C7A6D"/>
    <w:rsid w:val="00884A1B"/>
    <w:rsid w:val="009B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2289"/>
    <o:shapelayout v:ext="edit">
      <o:idmap v:ext="edit" data="1"/>
    </o:shapelayout>
  </w:shapeDefaults>
  <w:decimalSymbol w:val=","/>
  <w:listSeparator w:val=";"/>
  <w14:docId w14:val="72FF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B0991"/>
    <w:rPr>
      <w:rFonts w:ascii="Tahoma" w:hAnsi="Tahoma" w:cs="Tahoma"/>
      <w:sz w:val="16"/>
      <w:szCs w:val="16"/>
    </w:rPr>
  </w:style>
  <w:style w:type="character" w:customStyle="1" w:styleId="DebesliotekstasDiagrama">
    <w:name w:val="Debesėlio tekstas Diagrama"/>
    <w:basedOn w:val="Numatytasispastraiposriftas"/>
    <w:link w:val="Debesliotekstas"/>
    <w:rsid w:val="009B0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B0991"/>
    <w:rPr>
      <w:rFonts w:ascii="Tahoma" w:hAnsi="Tahoma" w:cs="Tahoma"/>
      <w:sz w:val="16"/>
      <w:szCs w:val="16"/>
    </w:rPr>
  </w:style>
  <w:style w:type="character" w:customStyle="1" w:styleId="DebesliotekstasDiagrama">
    <w:name w:val="Debesėlio tekstas Diagrama"/>
    <w:basedOn w:val="Numatytasispastraiposriftas"/>
    <w:link w:val="Debesliotekstas"/>
    <w:rsid w:val="009B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0150">
      <w:marLeft w:val="0"/>
      <w:marRight w:val="0"/>
      <w:marTop w:val="0"/>
      <w:marBottom w:val="0"/>
      <w:divBdr>
        <w:top w:val="none" w:sz="0" w:space="0" w:color="auto"/>
        <w:left w:val="none" w:sz="0" w:space="0" w:color="auto"/>
        <w:bottom w:val="none" w:sz="0" w:space="0" w:color="auto"/>
        <w:right w:val="none" w:sz="0" w:space="0" w:color="auto"/>
      </w:divBdr>
    </w:div>
    <w:div w:id="1260140151">
      <w:marLeft w:val="0"/>
      <w:marRight w:val="0"/>
      <w:marTop w:val="0"/>
      <w:marBottom w:val="0"/>
      <w:divBdr>
        <w:top w:val="none" w:sz="0" w:space="0" w:color="auto"/>
        <w:left w:val="none" w:sz="0" w:space="0" w:color="auto"/>
        <w:bottom w:val="none" w:sz="0" w:space="0" w:color="auto"/>
        <w:right w:val="none" w:sz="0" w:space="0" w:color="auto"/>
      </w:divBdr>
    </w:div>
    <w:div w:id="1260140152">
      <w:marLeft w:val="173"/>
      <w:marRight w:val="173"/>
      <w:marTop w:val="0"/>
      <w:marBottom w:val="0"/>
      <w:divBdr>
        <w:top w:val="none" w:sz="0" w:space="0" w:color="auto"/>
        <w:left w:val="none" w:sz="0" w:space="0" w:color="auto"/>
        <w:bottom w:val="none" w:sz="0" w:space="0" w:color="auto"/>
        <w:right w:val="none" w:sz="0" w:space="0" w:color="auto"/>
      </w:divBdr>
      <w:divsChild>
        <w:div w:id="1260140161">
          <w:marLeft w:val="0"/>
          <w:marRight w:val="0"/>
          <w:marTop w:val="0"/>
          <w:marBottom w:val="0"/>
          <w:divBdr>
            <w:top w:val="none" w:sz="0" w:space="0" w:color="auto"/>
            <w:left w:val="none" w:sz="0" w:space="0" w:color="auto"/>
            <w:bottom w:val="none" w:sz="0" w:space="0" w:color="auto"/>
            <w:right w:val="none" w:sz="0" w:space="0" w:color="auto"/>
          </w:divBdr>
        </w:div>
      </w:divsChild>
    </w:div>
    <w:div w:id="1260140153">
      <w:marLeft w:val="0"/>
      <w:marRight w:val="0"/>
      <w:marTop w:val="0"/>
      <w:marBottom w:val="0"/>
      <w:divBdr>
        <w:top w:val="none" w:sz="0" w:space="0" w:color="auto"/>
        <w:left w:val="none" w:sz="0" w:space="0" w:color="auto"/>
        <w:bottom w:val="none" w:sz="0" w:space="0" w:color="auto"/>
        <w:right w:val="none" w:sz="0" w:space="0" w:color="auto"/>
      </w:divBdr>
    </w:div>
    <w:div w:id="1260140154">
      <w:marLeft w:val="150"/>
      <w:marRight w:val="150"/>
      <w:marTop w:val="0"/>
      <w:marBottom w:val="0"/>
      <w:divBdr>
        <w:top w:val="none" w:sz="0" w:space="0" w:color="auto"/>
        <w:left w:val="none" w:sz="0" w:space="0" w:color="auto"/>
        <w:bottom w:val="none" w:sz="0" w:space="0" w:color="auto"/>
        <w:right w:val="none" w:sz="0" w:space="0" w:color="auto"/>
      </w:divBdr>
      <w:divsChild>
        <w:div w:id="1260140169">
          <w:marLeft w:val="0"/>
          <w:marRight w:val="0"/>
          <w:marTop w:val="0"/>
          <w:marBottom w:val="0"/>
          <w:divBdr>
            <w:top w:val="none" w:sz="0" w:space="0" w:color="auto"/>
            <w:left w:val="none" w:sz="0" w:space="0" w:color="auto"/>
            <w:bottom w:val="none" w:sz="0" w:space="0" w:color="auto"/>
            <w:right w:val="none" w:sz="0" w:space="0" w:color="auto"/>
          </w:divBdr>
        </w:div>
      </w:divsChild>
    </w:div>
    <w:div w:id="1260140155">
      <w:marLeft w:val="173"/>
      <w:marRight w:val="173"/>
      <w:marTop w:val="0"/>
      <w:marBottom w:val="0"/>
      <w:divBdr>
        <w:top w:val="none" w:sz="0" w:space="0" w:color="auto"/>
        <w:left w:val="none" w:sz="0" w:space="0" w:color="auto"/>
        <w:bottom w:val="none" w:sz="0" w:space="0" w:color="auto"/>
        <w:right w:val="none" w:sz="0" w:space="0" w:color="auto"/>
      </w:divBdr>
      <w:divsChild>
        <w:div w:id="1260140175">
          <w:marLeft w:val="0"/>
          <w:marRight w:val="0"/>
          <w:marTop w:val="0"/>
          <w:marBottom w:val="0"/>
          <w:divBdr>
            <w:top w:val="none" w:sz="0" w:space="0" w:color="auto"/>
            <w:left w:val="none" w:sz="0" w:space="0" w:color="auto"/>
            <w:bottom w:val="none" w:sz="0" w:space="0" w:color="auto"/>
            <w:right w:val="none" w:sz="0" w:space="0" w:color="auto"/>
          </w:divBdr>
        </w:div>
      </w:divsChild>
    </w:div>
    <w:div w:id="1260140156">
      <w:marLeft w:val="0"/>
      <w:marRight w:val="0"/>
      <w:marTop w:val="0"/>
      <w:marBottom w:val="0"/>
      <w:divBdr>
        <w:top w:val="none" w:sz="0" w:space="0" w:color="auto"/>
        <w:left w:val="none" w:sz="0" w:space="0" w:color="auto"/>
        <w:bottom w:val="none" w:sz="0" w:space="0" w:color="auto"/>
        <w:right w:val="none" w:sz="0" w:space="0" w:color="auto"/>
      </w:divBdr>
    </w:div>
    <w:div w:id="1260140157">
      <w:marLeft w:val="0"/>
      <w:marRight w:val="0"/>
      <w:marTop w:val="0"/>
      <w:marBottom w:val="0"/>
      <w:divBdr>
        <w:top w:val="none" w:sz="0" w:space="0" w:color="auto"/>
        <w:left w:val="none" w:sz="0" w:space="0" w:color="auto"/>
        <w:bottom w:val="none" w:sz="0" w:space="0" w:color="auto"/>
        <w:right w:val="none" w:sz="0" w:space="0" w:color="auto"/>
      </w:divBdr>
    </w:div>
    <w:div w:id="1260140163">
      <w:marLeft w:val="150"/>
      <w:marRight w:val="150"/>
      <w:marTop w:val="0"/>
      <w:marBottom w:val="0"/>
      <w:divBdr>
        <w:top w:val="none" w:sz="0" w:space="0" w:color="auto"/>
        <w:left w:val="none" w:sz="0" w:space="0" w:color="auto"/>
        <w:bottom w:val="none" w:sz="0" w:space="0" w:color="auto"/>
        <w:right w:val="none" w:sz="0" w:space="0" w:color="auto"/>
      </w:divBdr>
      <w:divsChild>
        <w:div w:id="1260140160">
          <w:marLeft w:val="0"/>
          <w:marRight w:val="0"/>
          <w:marTop w:val="0"/>
          <w:marBottom w:val="0"/>
          <w:divBdr>
            <w:top w:val="none" w:sz="0" w:space="0" w:color="auto"/>
            <w:left w:val="none" w:sz="0" w:space="0" w:color="auto"/>
            <w:bottom w:val="none" w:sz="0" w:space="0" w:color="auto"/>
            <w:right w:val="none" w:sz="0" w:space="0" w:color="auto"/>
          </w:divBdr>
        </w:div>
      </w:divsChild>
    </w:div>
    <w:div w:id="1260140165">
      <w:marLeft w:val="0"/>
      <w:marRight w:val="0"/>
      <w:marTop w:val="0"/>
      <w:marBottom w:val="0"/>
      <w:divBdr>
        <w:top w:val="none" w:sz="0" w:space="0" w:color="auto"/>
        <w:left w:val="none" w:sz="0" w:space="0" w:color="auto"/>
        <w:bottom w:val="none" w:sz="0" w:space="0" w:color="auto"/>
        <w:right w:val="none" w:sz="0" w:space="0" w:color="auto"/>
      </w:divBdr>
    </w:div>
    <w:div w:id="1260140166">
      <w:marLeft w:val="225"/>
      <w:marRight w:val="225"/>
      <w:marTop w:val="0"/>
      <w:marBottom w:val="0"/>
      <w:divBdr>
        <w:top w:val="none" w:sz="0" w:space="0" w:color="auto"/>
        <w:left w:val="none" w:sz="0" w:space="0" w:color="auto"/>
        <w:bottom w:val="none" w:sz="0" w:space="0" w:color="auto"/>
        <w:right w:val="none" w:sz="0" w:space="0" w:color="auto"/>
      </w:divBdr>
      <w:divsChild>
        <w:div w:id="1260140164">
          <w:marLeft w:val="0"/>
          <w:marRight w:val="0"/>
          <w:marTop w:val="0"/>
          <w:marBottom w:val="0"/>
          <w:divBdr>
            <w:top w:val="none" w:sz="0" w:space="0" w:color="auto"/>
            <w:left w:val="none" w:sz="0" w:space="0" w:color="auto"/>
            <w:bottom w:val="none" w:sz="0" w:space="0" w:color="auto"/>
            <w:right w:val="none" w:sz="0" w:space="0" w:color="auto"/>
          </w:divBdr>
        </w:div>
      </w:divsChild>
    </w:div>
    <w:div w:id="1260140168">
      <w:marLeft w:val="0"/>
      <w:marRight w:val="0"/>
      <w:marTop w:val="0"/>
      <w:marBottom w:val="0"/>
      <w:divBdr>
        <w:top w:val="none" w:sz="0" w:space="0" w:color="auto"/>
        <w:left w:val="none" w:sz="0" w:space="0" w:color="auto"/>
        <w:bottom w:val="none" w:sz="0" w:space="0" w:color="auto"/>
        <w:right w:val="none" w:sz="0" w:space="0" w:color="auto"/>
      </w:divBdr>
    </w:div>
    <w:div w:id="1260140170">
      <w:marLeft w:val="225"/>
      <w:marRight w:val="225"/>
      <w:marTop w:val="0"/>
      <w:marBottom w:val="0"/>
      <w:divBdr>
        <w:top w:val="none" w:sz="0" w:space="0" w:color="auto"/>
        <w:left w:val="none" w:sz="0" w:space="0" w:color="auto"/>
        <w:bottom w:val="none" w:sz="0" w:space="0" w:color="auto"/>
        <w:right w:val="none" w:sz="0" w:space="0" w:color="auto"/>
      </w:divBdr>
      <w:divsChild>
        <w:div w:id="1260140183">
          <w:marLeft w:val="0"/>
          <w:marRight w:val="0"/>
          <w:marTop w:val="0"/>
          <w:marBottom w:val="0"/>
          <w:divBdr>
            <w:top w:val="none" w:sz="0" w:space="0" w:color="auto"/>
            <w:left w:val="none" w:sz="0" w:space="0" w:color="auto"/>
            <w:bottom w:val="none" w:sz="0" w:space="0" w:color="auto"/>
            <w:right w:val="none" w:sz="0" w:space="0" w:color="auto"/>
          </w:divBdr>
        </w:div>
      </w:divsChild>
    </w:div>
    <w:div w:id="1260140171">
      <w:marLeft w:val="0"/>
      <w:marRight w:val="0"/>
      <w:marTop w:val="0"/>
      <w:marBottom w:val="0"/>
      <w:divBdr>
        <w:top w:val="none" w:sz="0" w:space="0" w:color="auto"/>
        <w:left w:val="none" w:sz="0" w:space="0" w:color="auto"/>
        <w:bottom w:val="none" w:sz="0" w:space="0" w:color="auto"/>
        <w:right w:val="none" w:sz="0" w:space="0" w:color="auto"/>
      </w:divBdr>
    </w:div>
    <w:div w:id="1260140172">
      <w:marLeft w:val="140"/>
      <w:marRight w:val="140"/>
      <w:marTop w:val="0"/>
      <w:marBottom w:val="0"/>
      <w:divBdr>
        <w:top w:val="none" w:sz="0" w:space="0" w:color="auto"/>
        <w:left w:val="none" w:sz="0" w:space="0" w:color="auto"/>
        <w:bottom w:val="none" w:sz="0" w:space="0" w:color="auto"/>
        <w:right w:val="none" w:sz="0" w:space="0" w:color="auto"/>
      </w:divBdr>
      <w:divsChild>
        <w:div w:id="1260140167">
          <w:marLeft w:val="0"/>
          <w:marRight w:val="0"/>
          <w:marTop w:val="0"/>
          <w:marBottom w:val="0"/>
          <w:divBdr>
            <w:top w:val="none" w:sz="0" w:space="0" w:color="auto"/>
            <w:left w:val="none" w:sz="0" w:space="0" w:color="auto"/>
            <w:bottom w:val="none" w:sz="0" w:space="0" w:color="auto"/>
            <w:right w:val="none" w:sz="0" w:space="0" w:color="auto"/>
          </w:divBdr>
        </w:div>
      </w:divsChild>
    </w:div>
    <w:div w:id="1260140174">
      <w:marLeft w:val="173"/>
      <w:marRight w:val="173"/>
      <w:marTop w:val="0"/>
      <w:marBottom w:val="0"/>
      <w:divBdr>
        <w:top w:val="none" w:sz="0" w:space="0" w:color="auto"/>
        <w:left w:val="none" w:sz="0" w:space="0" w:color="auto"/>
        <w:bottom w:val="none" w:sz="0" w:space="0" w:color="auto"/>
        <w:right w:val="none" w:sz="0" w:space="0" w:color="auto"/>
      </w:divBdr>
      <w:divsChild>
        <w:div w:id="1260140173">
          <w:marLeft w:val="0"/>
          <w:marRight w:val="0"/>
          <w:marTop w:val="0"/>
          <w:marBottom w:val="0"/>
          <w:divBdr>
            <w:top w:val="none" w:sz="0" w:space="0" w:color="auto"/>
            <w:left w:val="none" w:sz="0" w:space="0" w:color="auto"/>
            <w:bottom w:val="none" w:sz="0" w:space="0" w:color="auto"/>
            <w:right w:val="none" w:sz="0" w:space="0" w:color="auto"/>
          </w:divBdr>
        </w:div>
      </w:divsChild>
    </w:div>
    <w:div w:id="1260140177">
      <w:marLeft w:val="0"/>
      <w:marRight w:val="0"/>
      <w:marTop w:val="0"/>
      <w:marBottom w:val="0"/>
      <w:divBdr>
        <w:top w:val="none" w:sz="0" w:space="0" w:color="auto"/>
        <w:left w:val="none" w:sz="0" w:space="0" w:color="auto"/>
        <w:bottom w:val="none" w:sz="0" w:space="0" w:color="auto"/>
        <w:right w:val="none" w:sz="0" w:space="0" w:color="auto"/>
      </w:divBdr>
    </w:div>
    <w:div w:id="1260140178">
      <w:marLeft w:val="140"/>
      <w:marRight w:val="140"/>
      <w:marTop w:val="0"/>
      <w:marBottom w:val="0"/>
      <w:divBdr>
        <w:top w:val="none" w:sz="0" w:space="0" w:color="auto"/>
        <w:left w:val="none" w:sz="0" w:space="0" w:color="auto"/>
        <w:bottom w:val="none" w:sz="0" w:space="0" w:color="auto"/>
        <w:right w:val="none" w:sz="0" w:space="0" w:color="auto"/>
      </w:divBdr>
      <w:divsChild>
        <w:div w:id="1260140158">
          <w:marLeft w:val="0"/>
          <w:marRight w:val="0"/>
          <w:marTop w:val="0"/>
          <w:marBottom w:val="0"/>
          <w:divBdr>
            <w:top w:val="none" w:sz="0" w:space="0" w:color="auto"/>
            <w:left w:val="none" w:sz="0" w:space="0" w:color="auto"/>
            <w:bottom w:val="none" w:sz="0" w:space="0" w:color="auto"/>
            <w:right w:val="none" w:sz="0" w:space="0" w:color="auto"/>
          </w:divBdr>
        </w:div>
      </w:divsChild>
    </w:div>
    <w:div w:id="1260140179">
      <w:marLeft w:val="225"/>
      <w:marRight w:val="225"/>
      <w:marTop w:val="0"/>
      <w:marBottom w:val="0"/>
      <w:divBdr>
        <w:top w:val="none" w:sz="0" w:space="0" w:color="auto"/>
        <w:left w:val="none" w:sz="0" w:space="0" w:color="auto"/>
        <w:bottom w:val="none" w:sz="0" w:space="0" w:color="auto"/>
        <w:right w:val="none" w:sz="0" w:space="0" w:color="auto"/>
      </w:divBdr>
      <w:divsChild>
        <w:div w:id="1260140162">
          <w:marLeft w:val="0"/>
          <w:marRight w:val="0"/>
          <w:marTop w:val="0"/>
          <w:marBottom w:val="0"/>
          <w:divBdr>
            <w:top w:val="none" w:sz="0" w:space="0" w:color="auto"/>
            <w:left w:val="none" w:sz="0" w:space="0" w:color="auto"/>
            <w:bottom w:val="none" w:sz="0" w:space="0" w:color="auto"/>
            <w:right w:val="none" w:sz="0" w:space="0" w:color="auto"/>
          </w:divBdr>
        </w:div>
      </w:divsChild>
    </w:div>
    <w:div w:id="1260140180">
      <w:marLeft w:val="173"/>
      <w:marRight w:val="173"/>
      <w:marTop w:val="0"/>
      <w:marBottom w:val="0"/>
      <w:divBdr>
        <w:top w:val="none" w:sz="0" w:space="0" w:color="auto"/>
        <w:left w:val="none" w:sz="0" w:space="0" w:color="auto"/>
        <w:bottom w:val="none" w:sz="0" w:space="0" w:color="auto"/>
        <w:right w:val="none" w:sz="0" w:space="0" w:color="auto"/>
      </w:divBdr>
      <w:divsChild>
        <w:div w:id="1260140159">
          <w:marLeft w:val="0"/>
          <w:marRight w:val="0"/>
          <w:marTop w:val="0"/>
          <w:marBottom w:val="0"/>
          <w:divBdr>
            <w:top w:val="none" w:sz="0" w:space="0" w:color="auto"/>
            <w:left w:val="none" w:sz="0" w:space="0" w:color="auto"/>
            <w:bottom w:val="none" w:sz="0" w:space="0" w:color="auto"/>
            <w:right w:val="none" w:sz="0" w:space="0" w:color="auto"/>
          </w:divBdr>
        </w:div>
      </w:divsChild>
    </w:div>
    <w:div w:id="1260140181">
      <w:marLeft w:val="173"/>
      <w:marRight w:val="173"/>
      <w:marTop w:val="0"/>
      <w:marBottom w:val="0"/>
      <w:divBdr>
        <w:top w:val="none" w:sz="0" w:space="0" w:color="auto"/>
        <w:left w:val="none" w:sz="0" w:space="0" w:color="auto"/>
        <w:bottom w:val="none" w:sz="0" w:space="0" w:color="auto"/>
        <w:right w:val="none" w:sz="0" w:space="0" w:color="auto"/>
      </w:divBdr>
      <w:divsChild>
        <w:div w:id="1260140176">
          <w:marLeft w:val="0"/>
          <w:marRight w:val="0"/>
          <w:marTop w:val="0"/>
          <w:marBottom w:val="0"/>
          <w:divBdr>
            <w:top w:val="none" w:sz="0" w:space="0" w:color="auto"/>
            <w:left w:val="none" w:sz="0" w:space="0" w:color="auto"/>
            <w:bottom w:val="none" w:sz="0" w:space="0" w:color="auto"/>
            <w:right w:val="none" w:sz="0" w:space="0" w:color="auto"/>
          </w:divBdr>
        </w:div>
      </w:divsChild>
    </w:div>
    <w:div w:id="1260140185">
      <w:marLeft w:val="173"/>
      <w:marRight w:val="173"/>
      <w:marTop w:val="0"/>
      <w:marBottom w:val="0"/>
      <w:divBdr>
        <w:top w:val="none" w:sz="0" w:space="0" w:color="auto"/>
        <w:left w:val="none" w:sz="0" w:space="0" w:color="auto"/>
        <w:bottom w:val="none" w:sz="0" w:space="0" w:color="auto"/>
        <w:right w:val="none" w:sz="0" w:space="0" w:color="auto"/>
      </w:divBdr>
      <w:divsChild>
        <w:div w:id="1260140184">
          <w:marLeft w:val="0"/>
          <w:marRight w:val="0"/>
          <w:marTop w:val="0"/>
          <w:marBottom w:val="0"/>
          <w:divBdr>
            <w:top w:val="none" w:sz="0" w:space="0" w:color="auto"/>
            <w:left w:val="none" w:sz="0" w:space="0" w:color="auto"/>
            <w:bottom w:val="none" w:sz="0" w:space="0" w:color="auto"/>
            <w:right w:val="none" w:sz="0" w:space="0" w:color="auto"/>
          </w:divBdr>
        </w:div>
      </w:divsChild>
    </w:div>
    <w:div w:id="1260140186">
      <w:marLeft w:val="140"/>
      <w:marRight w:val="140"/>
      <w:marTop w:val="0"/>
      <w:marBottom w:val="0"/>
      <w:divBdr>
        <w:top w:val="none" w:sz="0" w:space="0" w:color="auto"/>
        <w:left w:val="none" w:sz="0" w:space="0" w:color="auto"/>
        <w:bottom w:val="none" w:sz="0" w:space="0" w:color="auto"/>
        <w:right w:val="none" w:sz="0" w:space="0" w:color="auto"/>
      </w:divBdr>
      <w:divsChild>
        <w:div w:id="1260140182">
          <w:marLeft w:val="0"/>
          <w:marRight w:val="0"/>
          <w:marTop w:val="0"/>
          <w:marBottom w:val="0"/>
          <w:divBdr>
            <w:top w:val="none" w:sz="0" w:space="0" w:color="auto"/>
            <w:left w:val="none" w:sz="0" w:space="0" w:color="auto"/>
            <w:bottom w:val="none" w:sz="0" w:space="0" w:color="auto"/>
            <w:right w:val="none" w:sz="0" w:space="0" w:color="auto"/>
          </w:divBdr>
        </w:div>
      </w:divsChild>
    </w:div>
    <w:div w:id="1260140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1159</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CAA blankas</vt:lpstr>
    </vt:vector>
  </TitlesOfParts>
  <Company/>
  <LinksUpToDate>false</LinksUpToDate>
  <CharactersWithSpaces>1324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2014-04-14T08:15:00Z</dcterms:created>
  <dc:creator>Jolanta</dc:creator>
  <lastModifiedBy>PAVKŠTELO Julita</lastModifiedBy>
  <lastPrinted>2014-01-17T06:51:00Z</lastPrinted>
  <dcterms:modified xsi:type="dcterms:W3CDTF">2016-03-02T13:00:00Z</dcterms:modified>
  <revision>4</revision>
  <dc:title>CAA blankas</dc:title>
</coreProperties>
</file>