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9D31" w14:textId="77777777" w:rsidR="001279FD" w:rsidRDefault="001279F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DE39D32" w14:textId="77777777" w:rsidR="001279FD" w:rsidRDefault="002B0C5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DE39D55" wp14:editId="7DE39D56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9D33" w14:textId="77777777" w:rsidR="001279FD" w:rsidRDefault="001279FD">
      <w:pPr>
        <w:jc w:val="center"/>
        <w:rPr>
          <w:caps/>
          <w:sz w:val="12"/>
          <w:szCs w:val="12"/>
        </w:rPr>
      </w:pPr>
    </w:p>
    <w:p w14:paraId="7DE39D34" w14:textId="77777777" w:rsidR="001279FD" w:rsidRDefault="002B0C5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DE39D35" w14:textId="77777777" w:rsidR="001279FD" w:rsidRDefault="002B0C5B">
      <w:pPr>
        <w:jc w:val="center"/>
        <w:rPr>
          <w:b/>
          <w:caps/>
        </w:rPr>
      </w:pPr>
      <w:r>
        <w:rPr>
          <w:b/>
          <w:caps/>
        </w:rPr>
        <w:t>ŽMONIŲ PALAIKŲ LAIDOJIMO ĮSTATYMO NR. X-1404 16, 30 STRAIPSNIŲ PAKEITIMO IR 16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STRAIPSNIO PRIPAŽINIMO NETEKUSIU GALIOS</w:t>
      </w:r>
    </w:p>
    <w:p w14:paraId="7DE39D36" w14:textId="77777777" w:rsidR="001279FD" w:rsidRDefault="002B0C5B">
      <w:pPr>
        <w:jc w:val="center"/>
        <w:rPr>
          <w:caps/>
        </w:rPr>
      </w:pPr>
      <w:r>
        <w:rPr>
          <w:b/>
          <w:caps/>
        </w:rPr>
        <w:t>ĮSTATYMAS</w:t>
      </w:r>
    </w:p>
    <w:p w14:paraId="7DE39D37" w14:textId="77777777" w:rsidR="001279FD" w:rsidRDefault="001279FD">
      <w:pPr>
        <w:jc w:val="center"/>
        <w:rPr>
          <w:b/>
          <w:caps/>
        </w:rPr>
      </w:pPr>
    </w:p>
    <w:p w14:paraId="7DE39D38" w14:textId="77777777" w:rsidR="001279FD" w:rsidRDefault="002B0C5B">
      <w:pPr>
        <w:jc w:val="center"/>
        <w:rPr>
          <w:sz w:val="22"/>
        </w:rPr>
      </w:pPr>
      <w:r>
        <w:rPr>
          <w:sz w:val="22"/>
        </w:rPr>
        <w:t>2015 m. gegužės 7 d. Nr. XII-1671</w:t>
      </w:r>
    </w:p>
    <w:p w14:paraId="7DE39D39" w14:textId="77777777" w:rsidR="001279FD" w:rsidRDefault="002B0C5B">
      <w:pPr>
        <w:jc w:val="center"/>
        <w:rPr>
          <w:sz w:val="22"/>
        </w:rPr>
      </w:pPr>
      <w:r>
        <w:rPr>
          <w:sz w:val="22"/>
        </w:rPr>
        <w:t>Vilnius</w:t>
      </w:r>
    </w:p>
    <w:p w14:paraId="7DE39D3A" w14:textId="77777777" w:rsidR="001279FD" w:rsidRDefault="001279FD">
      <w:pPr>
        <w:jc w:val="center"/>
        <w:rPr>
          <w:sz w:val="22"/>
        </w:rPr>
      </w:pPr>
    </w:p>
    <w:p w14:paraId="7DE39D3B" w14:textId="77777777" w:rsidR="001279FD" w:rsidRDefault="001279FD">
      <w:pPr>
        <w:spacing w:line="360" w:lineRule="auto"/>
        <w:ind w:firstLine="720"/>
        <w:jc w:val="both"/>
        <w:rPr>
          <w:sz w:val="16"/>
          <w:szCs w:val="16"/>
        </w:rPr>
      </w:pPr>
    </w:p>
    <w:p w14:paraId="7DE39D3D" w14:textId="77777777" w:rsidR="001279FD" w:rsidRDefault="001279FD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DE39D3E" w14:textId="77777777" w:rsidR="001279FD" w:rsidRDefault="002B0C5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16 straipsnio pakeitimas</w:t>
      </w:r>
    </w:p>
    <w:p w14:paraId="7DE39D3F" w14:textId="77777777" w:rsidR="001279FD" w:rsidRDefault="002B0C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16 straipsnio 1 dalį ir ją išdėstyti taip:</w:t>
      </w:r>
    </w:p>
    <w:p w14:paraId="7DE39D40" w14:textId="77777777" w:rsidR="001279FD" w:rsidRDefault="002B0C5B">
      <w:pPr>
        <w:spacing w:line="360" w:lineRule="auto"/>
        <w:ind w:firstLine="720"/>
        <w:jc w:val="both"/>
        <w:rPr>
          <w:strike/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Balzamavimą gali atlikti </w:t>
      </w:r>
      <w:r>
        <w:rPr>
          <w:szCs w:val="24"/>
        </w:rPr>
        <w:t>Lietuvos Respublikoje įsteigti juridiniai asmenys, kitoje Europos Sąjungos valstybėje narėje ar Europos ekonominės erdvės valstybėje įsteigti juridiniai asmenys ar kitos organizacijos arba jų filialai, turintys Lietuvos Respublikos visuomenės sveikatos pri</w:t>
      </w:r>
      <w:r>
        <w:rPr>
          <w:szCs w:val="24"/>
        </w:rPr>
        <w:t>ežiūros įstatymo ir kitų teisės aktų nustatyta tvarka išduotą leidimą-higienos pasą.“</w:t>
      </w:r>
    </w:p>
    <w:p w14:paraId="7DE39D41" w14:textId="77777777" w:rsidR="001279FD" w:rsidRDefault="002B0C5B">
      <w:pPr>
        <w:spacing w:line="360" w:lineRule="auto"/>
        <w:ind w:firstLine="720"/>
        <w:jc w:val="both"/>
        <w:rPr>
          <w:b/>
          <w:szCs w:val="24"/>
        </w:rPr>
      </w:pPr>
    </w:p>
    <w:p w14:paraId="7DE39D42" w14:textId="77777777" w:rsidR="001279FD" w:rsidRDefault="002B0C5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16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straipsnio pripažinimas netekusiu galios </w:t>
      </w:r>
    </w:p>
    <w:p w14:paraId="7DE39D43" w14:textId="77777777" w:rsidR="001279FD" w:rsidRDefault="002B0C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Pripažinti netekusiu galios 16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straipsnį.</w:t>
      </w:r>
    </w:p>
    <w:p w14:paraId="7DE39D44" w14:textId="77777777" w:rsidR="001279FD" w:rsidRDefault="002B0C5B">
      <w:pPr>
        <w:spacing w:line="360" w:lineRule="auto"/>
        <w:ind w:firstLine="720"/>
        <w:jc w:val="both"/>
        <w:rPr>
          <w:szCs w:val="24"/>
        </w:rPr>
      </w:pPr>
    </w:p>
    <w:p w14:paraId="7DE39D45" w14:textId="77777777" w:rsidR="001279FD" w:rsidRDefault="002B0C5B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30 straipsnio pakeitimas</w:t>
      </w:r>
    </w:p>
    <w:p w14:paraId="7DE39D46" w14:textId="77777777" w:rsidR="001279FD" w:rsidRDefault="002B0C5B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</w:t>
      </w:r>
      <w:r>
        <w:rPr>
          <w:szCs w:val="24"/>
        </w:rPr>
        <w:t>ti 30 straipsnį ir jį išdėstyti taip:</w:t>
      </w:r>
    </w:p>
    <w:p w14:paraId="7DE39D47" w14:textId="77777777" w:rsidR="001279FD" w:rsidRDefault="002B0C5B">
      <w:pPr>
        <w:spacing w:line="360" w:lineRule="auto"/>
        <w:ind w:left="2268" w:hanging="154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30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Valstybės institucijų kompetencija kremavimo veiklos, balzamavimo, laidojimo paslaugų teikimo ir kapinių tvarkymo priežiūros ir kontrolės srityje</w:t>
      </w:r>
    </w:p>
    <w:p w14:paraId="7DE39D48" w14:textId="77777777" w:rsidR="001279FD" w:rsidRDefault="002B0C5B">
      <w:pPr>
        <w:tabs>
          <w:tab w:val="left" w:pos="0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Visuomenės sveikatos centrai apskrityse vykdo k</w:t>
      </w:r>
      <w:r>
        <w:rPr>
          <w:szCs w:val="24"/>
          <w:lang w:eastAsia="lt-LT"/>
        </w:rPr>
        <w:t>remavimo įmonių, balzamavimo ir laidojimo paslaugų teikėjų, teikiančių žmogaus palaikų laikymo, žmogaus palaikų paruošimo šarvoti ir šarvojimo paslaugas, valstybinę visuomenės sveikatos saugos kontrolę sveikatos apsaugos ministro ar jo įgaliotos įstaigos n</w:t>
      </w:r>
      <w:r>
        <w:rPr>
          <w:szCs w:val="24"/>
          <w:lang w:eastAsia="lt-LT"/>
        </w:rPr>
        <w:t>ustatyta tvarka, taip pat kituose įstatymuose nustatytas kremavimo veiklos, balzamavimo, laidojimo paslaugų teikimo ir kapinių tvarkymo priežiūros ir kontrolės funkcijas.</w:t>
      </w:r>
    </w:p>
    <w:p w14:paraId="7DE39D49" w14:textId="77777777" w:rsidR="001279FD" w:rsidRDefault="002B0C5B">
      <w:pPr>
        <w:tabs>
          <w:tab w:val="left" w:pos="6412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Aplinkos ministerijos regionų aplinkos apsaugos departamentai ir kitos </w:t>
      </w:r>
      <w:r>
        <w:rPr>
          <w:szCs w:val="24"/>
          <w:lang w:eastAsia="lt-LT"/>
        </w:rPr>
        <w:t xml:space="preserve">valstybinės priežiūros institucijos pagal kompetenciją prižiūri kremavimo įmonių, balzamavimo, laidojimo paslaugų teikėjų ir kapinių prižiūrėtojų veiklą ir kontroliuoja, kaip jie vykdo aplinkos apsaugos, </w:t>
      </w:r>
      <w:r>
        <w:rPr>
          <w:szCs w:val="24"/>
          <w:lang w:eastAsia="lt-LT"/>
        </w:rPr>
        <w:lastRenderedPageBreak/>
        <w:t>asmens duomenų tvarkymo ir apsaugos reikalavimus, nu</w:t>
      </w:r>
      <w:r>
        <w:rPr>
          <w:szCs w:val="24"/>
          <w:lang w:eastAsia="lt-LT"/>
        </w:rPr>
        <w:t>statytus šiame įstatyme ir kituose teisės aktuose.</w:t>
      </w:r>
    </w:p>
    <w:p w14:paraId="7DE39D4A" w14:textId="77777777" w:rsidR="001279FD" w:rsidRDefault="002B0C5B">
      <w:pPr>
        <w:tabs>
          <w:tab w:val="left" w:pos="0"/>
        </w:tabs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Šio straipsnio 1 ir 2 dalyse nurodytos institucijos, nustačiusios šiame įstatyme ir kituose teisės aktuose nustatytų kremavimo veiklai taikomų reikalavimų pažeidimus, gali teikti pasiūlymus kremavim</w:t>
      </w:r>
      <w:r>
        <w:rPr>
          <w:szCs w:val="24"/>
          <w:lang w:eastAsia="lt-LT"/>
        </w:rPr>
        <w:t>o veiklos licencijas išduodančiai institucijai dėl licencijos galiojimo sustabdymo.“</w:t>
      </w:r>
    </w:p>
    <w:p w14:paraId="7DE39D4B" w14:textId="77777777" w:rsidR="001279FD" w:rsidRDefault="002B0C5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  <w:lang w:eastAsia="lt-LT"/>
        </w:rPr>
      </w:pPr>
    </w:p>
    <w:p w14:paraId="7DE39D4C" w14:textId="77777777" w:rsidR="001279FD" w:rsidRDefault="002B0C5B">
      <w:pPr>
        <w:spacing w:line="360" w:lineRule="auto"/>
        <w:ind w:firstLine="720"/>
        <w:jc w:val="both"/>
        <w:rPr>
          <w:b/>
        </w:rPr>
      </w:pPr>
      <w:r>
        <w:rPr>
          <w:b/>
        </w:rPr>
        <w:t>4</w:t>
      </w:r>
      <w:r>
        <w:rPr>
          <w:b/>
        </w:rPr>
        <w:t xml:space="preserve"> straipsnis. </w:t>
      </w:r>
      <w:r>
        <w:rPr>
          <w:b/>
        </w:rPr>
        <w:t>Įstatymo įsigaliojimas ir įgyvendinimas</w:t>
      </w:r>
    </w:p>
    <w:p w14:paraId="7DE39D4D" w14:textId="77777777" w:rsidR="001279FD" w:rsidRDefault="002B0C5B">
      <w:pPr>
        <w:spacing w:line="360" w:lineRule="auto"/>
        <w:ind w:firstLine="720"/>
        <w:jc w:val="both"/>
      </w:pPr>
      <w:r>
        <w:t>1</w:t>
      </w:r>
      <w:r>
        <w:t>. Šis įstatymas, išskyrus šio straipsnio 2 dalį, įsigalioja 2015 m. liepos 1 d.</w:t>
      </w:r>
    </w:p>
    <w:p w14:paraId="7DE39D4E" w14:textId="77777777" w:rsidR="001279FD" w:rsidRDefault="002B0C5B">
      <w:pPr>
        <w:spacing w:line="360" w:lineRule="auto"/>
        <w:ind w:firstLine="720"/>
        <w:jc w:val="both"/>
      </w:pPr>
      <w:r>
        <w:t>2</w:t>
      </w:r>
      <w:r>
        <w:t xml:space="preserve">. Lietuvos Respublikos Vyriausybė ir Lietuvos Respublikos sveikatos apsaugos ministras iki šio įstatymo įsigaliojimo priima šio </w:t>
      </w:r>
      <w:r>
        <w:rPr>
          <w:lang w:eastAsia="lt-LT"/>
        </w:rPr>
        <w:t>įstatymo įgyvendinamuosius teisės aktus.</w:t>
      </w:r>
    </w:p>
    <w:p w14:paraId="7DE39D4F" w14:textId="77777777" w:rsidR="001279FD" w:rsidRDefault="002B0C5B">
      <w:pPr>
        <w:spacing w:line="360" w:lineRule="auto"/>
        <w:ind w:firstLine="720"/>
        <w:rPr>
          <w:szCs w:val="24"/>
        </w:rPr>
      </w:pPr>
    </w:p>
    <w:bookmarkStart w:id="0" w:name="_GoBack" w:displacedByCustomXml="prev"/>
    <w:p w14:paraId="7DE39D50" w14:textId="77777777" w:rsidR="001279FD" w:rsidRDefault="002B0C5B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DE39D51" w14:textId="77777777" w:rsidR="001279FD" w:rsidRDefault="001279FD">
      <w:pPr>
        <w:spacing w:line="360" w:lineRule="auto"/>
        <w:rPr>
          <w:i/>
          <w:szCs w:val="24"/>
        </w:rPr>
      </w:pPr>
    </w:p>
    <w:p w14:paraId="7DE39D52" w14:textId="77777777" w:rsidR="001279FD" w:rsidRDefault="001279FD">
      <w:pPr>
        <w:spacing w:line="360" w:lineRule="auto"/>
        <w:rPr>
          <w:i/>
          <w:szCs w:val="24"/>
        </w:rPr>
      </w:pPr>
    </w:p>
    <w:p w14:paraId="7DE39D53" w14:textId="77777777" w:rsidR="001279FD" w:rsidRDefault="001279FD">
      <w:pPr>
        <w:spacing w:line="360" w:lineRule="auto"/>
      </w:pPr>
    </w:p>
    <w:p w14:paraId="7DE39D54" w14:textId="77777777" w:rsidR="001279FD" w:rsidRDefault="002B0C5B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127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9D59" w14:textId="77777777" w:rsidR="001279FD" w:rsidRDefault="002B0C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DE39D5A" w14:textId="77777777" w:rsidR="001279FD" w:rsidRDefault="002B0C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D5F" w14:textId="77777777" w:rsidR="001279FD" w:rsidRDefault="002B0C5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DE39D60" w14:textId="77777777" w:rsidR="001279FD" w:rsidRDefault="001279F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D61" w14:textId="77777777" w:rsidR="001279FD" w:rsidRDefault="001279F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D63" w14:textId="77777777" w:rsidR="001279FD" w:rsidRDefault="001279F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9D57" w14:textId="77777777" w:rsidR="001279FD" w:rsidRDefault="002B0C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DE39D58" w14:textId="77777777" w:rsidR="001279FD" w:rsidRDefault="002B0C5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D5B" w14:textId="77777777" w:rsidR="001279FD" w:rsidRDefault="002B0C5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DE39D5C" w14:textId="77777777" w:rsidR="001279FD" w:rsidRDefault="001279F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D5D" w14:textId="77777777" w:rsidR="001279FD" w:rsidRDefault="002B0C5B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DE39D5E" w14:textId="77777777" w:rsidR="001279FD" w:rsidRDefault="001279F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9D62" w14:textId="77777777" w:rsidR="001279FD" w:rsidRDefault="001279FD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9"/>
    <w:rsid w:val="001279FD"/>
    <w:rsid w:val="002B0C5B"/>
    <w:rsid w:val="002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39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2628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2015-05-15T11:55:00Z</dcterms:created>
  <dc:creator>MANIUŠKIENĖ Violeta</dc:creator>
  <lastModifiedBy>GUMBYTĖ Danguolė</lastModifiedBy>
  <lastPrinted>2004-12-10T05:45:00Z</lastPrinted>
  <dcterms:modified xsi:type="dcterms:W3CDTF">2015-05-15T12:11:00Z</dcterms:modified>
  <revision>3</revision>
</coreProperties>
</file>