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2CDCE" w14:textId="77777777" w:rsidR="00523B57" w:rsidRDefault="00523B57">
      <w:pPr>
        <w:jc w:val="center"/>
        <w:rPr>
          <w:lang w:eastAsia="lt-LT"/>
        </w:rPr>
      </w:pPr>
    </w:p>
    <w:p w14:paraId="3832CDCF" w14:textId="77777777" w:rsidR="00523B57" w:rsidRDefault="00523B57">
      <w:pPr>
        <w:jc w:val="center"/>
        <w:rPr>
          <w:lang w:eastAsia="lt-LT"/>
        </w:rPr>
      </w:pPr>
    </w:p>
    <w:p w14:paraId="3832CDD0" w14:textId="77777777" w:rsidR="00523B57" w:rsidRDefault="008B3A25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832CDF2" wp14:editId="3832CDF3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2CDD1" w14:textId="77777777" w:rsidR="00523B57" w:rsidRDefault="00523B57">
      <w:pPr>
        <w:rPr>
          <w:sz w:val="10"/>
          <w:szCs w:val="10"/>
        </w:rPr>
      </w:pPr>
    </w:p>
    <w:p w14:paraId="3832CDD2" w14:textId="77777777" w:rsidR="00523B57" w:rsidRDefault="008B3A25">
      <w:pPr>
        <w:keepNext/>
        <w:jc w:val="center"/>
        <w:rPr>
          <w:b/>
          <w:caps/>
          <w:sz w:val="28"/>
          <w:szCs w:val="28"/>
          <w:lang w:eastAsia="lt-LT"/>
        </w:rPr>
      </w:pPr>
      <w:r>
        <w:rPr>
          <w:b/>
          <w:caps/>
          <w:sz w:val="28"/>
          <w:szCs w:val="28"/>
          <w:lang w:eastAsia="lt-LT"/>
        </w:rPr>
        <w:t>Lietuvos Respublikos Vyriausybė</w:t>
      </w:r>
    </w:p>
    <w:p w14:paraId="3832CDD3" w14:textId="77777777" w:rsidR="00523B57" w:rsidRDefault="00523B57">
      <w:pPr>
        <w:jc w:val="center"/>
        <w:rPr>
          <w:caps/>
          <w:lang w:eastAsia="lt-LT"/>
        </w:rPr>
      </w:pPr>
    </w:p>
    <w:p w14:paraId="3832CDD4" w14:textId="77777777" w:rsidR="00523B57" w:rsidRDefault="008B3A2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832CDD5" w14:textId="77777777" w:rsidR="00523B57" w:rsidRDefault="008B3A25">
      <w:pPr>
        <w:jc w:val="center"/>
        <w:rPr>
          <w:b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1998 M. SPALIO 2 D. </w:t>
      </w:r>
    </w:p>
    <w:p w14:paraId="3832CDD6" w14:textId="77777777" w:rsidR="00523B57" w:rsidRDefault="008B3A25">
      <w:pPr>
        <w:jc w:val="center"/>
        <w:rPr>
          <w:b/>
          <w:caps/>
          <w:lang w:eastAsia="lt-LT"/>
        </w:rPr>
      </w:pPr>
      <w:r>
        <w:rPr>
          <w:b/>
          <w:lang w:eastAsia="lt-LT"/>
        </w:rPr>
        <w:t>NUTARIMO NR. 1180 „DĖL TABAKO GAMINIŲ GAMYBOS LICENCIJAVIMO“ PAKEITIMO</w:t>
      </w:r>
    </w:p>
    <w:p w14:paraId="3832CDD8" w14:textId="77777777" w:rsidR="00523B57" w:rsidRDefault="00523B57">
      <w:pPr>
        <w:tabs>
          <w:tab w:val="center" w:pos="4153"/>
          <w:tab w:val="right" w:pos="8306"/>
        </w:tabs>
        <w:rPr>
          <w:lang w:eastAsia="lt-LT"/>
        </w:rPr>
      </w:pPr>
    </w:p>
    <w:p w14:paraId="3832CDD9" w14:textId="355E6596" w:rsidR="00523B57" w:rsidRDefault="008B3A25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vasario 19 d. </w:t>
      </w:r>
      <w:r>
        <w:rPr>
          <w:lang w:eastAsia="lt-LT"/>
        </w:rPr>
        <w:t>Nr. 150</w:t>
      </w:r>
    </w:p>
    <w:p w14:paraId="3832CDDA" w14:textId="77777777" w:rsidR="00523B57" w:rsidRDefault="008B3A2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832CDDB" w14:textId="77777777" w:rsidR="00523B57" w:rsidRDefault="00523B57">
      <w:pPr>
        <w:jc w:val="center"/>
        <w:rPr>
          <w:lang w:eastAsia="lt-LT"/>
        </w:rPr>
      </w:pPr>
    </w:p>
    <w:p w14:paraId="3832CDDC" w14:textId="77777777" w:rsidR="00523B57" w:rsidRDefault="008B3A2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832CDDD" w14:textId="77777777" w:rsidR="00523B57" w:rsidRDefault="008B3A25">
      <w:pPr>
        <w:tabs>
          <w:tab w:val="left" w:pos="1134"/>
        </w:tabs>
        <w:ind w:firstLine="709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1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 xml:space="preserve">Pakeisti Tabako gaminių gamybos licencijavimo taisykles, patvirtintas Lietuvos Respublikos Vyriausybės 1998 m. spalio 2 d. nutarimu Nr. 1180 „Dėl Tabako gaminių gamybos licencijavimo“:  </w:t>
      </w:r>
    </w:p>
    <w:p w14:paraId="3832CDDE" w14:textId="77777777" w:rsidR="00523B57" w:rsidRDefault="008B3A25">
      <w:pPr>
        <w:tabs>
          <w:tab w:val="left" w:pos="1134"/>
        </w:tabs>
        <w:ind w:left="1849" w:hanging="1140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1.1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Pakeisti II skyriaus pavadinimą ir jį išdėstyti taip:</w:t>
      </w:r>
    </w:p>
    <w:p w14:paraId="3832CDDF" w14:textId="77777777" w:rsidR="00523B57" w:rsidRDefault="008B3A25" w:rsidP="008B3A25">
      <w:pPr>
        <w:tabs>
          <w:tab w:val="left" w:pos="1134"/>
        </w:tabs>
        <w:jc w:val="center"/>
        <w:rPr>
          <w:b/>
          <w:bCs/>
          <w:lang w:eastAsia="lt-LT"/>
        </w:rPr>
      </w:pPr>
      <w:r>
        <w:rPr>
          <w:lang w:eastAsia="lt-LT"/>
        </w:rPr>
        <w:t>„</w:t>
      </w:r>
      <w:r>
        <w:rPr>
          <w:b/>
          <w:bCs/>
          <w:lang w:eastAsia="lt-LT"/>
        </w:rPr>
        <w:t>II</w:t>
      </w:r>
      <w:r>
        <w:rPr>
          <w:b/>
          <w:bCs/>
          <w:lang w:eastAsia="lt-LT"/>
        </w:rPr>
        <w:t xml:space="preserve"> SKYRIUS</w:t>
      </w:r>
    </w:p>
    <w:p w14:paraId="3832CDE0" w14:textId="186260C0" w:rsidR="00523B57" w:rsidRDefault="008B3A25" w:rsidP="008B3A25">
      <w:pPr>
        <w:tabs>
          <w:tab w:val="left" w:pos="709"/>
        </w:tabs>
        <w:ind w:left="142"/>
        <w:jc w:val="center"/>
        <w:rPr>
          <w:lang w:eastAsia="lt-LT"/>
        </w:rPr>
      </w:pPr>
      <w:r>
        <w:rPr>
          <w:b/>
          <w:bCs/>
          <w:lang w:eastAsia="lt-LT"/>
        </w:rPr>
        <w:t>LICENCIJOS IŠDAVIMAS IR LICENCIJOS PATIKSLINIMAS</w:t>
      </w:r>
      <w:r>
        <w:rPr>
          <w:bCs/>
          <w:lang w:eastAsia="lt-LT"/>
        </w:rPr>
        <w:t>“.</w:t>
      </w:r>
    </w:p>
    <w:p w14:paraId="3832CDE1" w14:textId="77777777" w:rsidR="00523B57" w:rsidRDefault="008B3A25">
      <w:pPr>
        <w:tabs>
          <w:tab w:val="left" w:pos="709"/>
          <w:tab w:val="left" w:pos="1134"/>
        </w:tabs>
        <w:ind w:left="1849" w:hanging="1140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1.2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Pakeisti 5 punktą ir jį išdėstyti taip:</w:t>
      </w:r>
    </w:p>
    <w:p w14:paraId="3832CDE2" w14:textId="77777777" w:rsidR="00523B57" w:rsidRDefault="008B3A25">
      <w:pPr>
        <w:tabs>
          <w:tab w:val="left" w:pos="1134"/>
        </w:tabs>
        <w:ind w:firstLine="709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5</w:t>
      </w:r>
      <w:r>
        <w:rPr>
          <w:lang w:eastAsia="lt-LT"/>
        </w:rPr>
        <w:t>. Narkotikų, tabako ir alkoholio kontrolės departamentas išduoda, patikslina licencijas, sustabdo licencijos galiojimą, panaikina licencijos galiojimo sustabdymą ar licencijos galiojimą, nau</w:t>
      </w:r>
      <w:bookmarkStart w:id="0" w:name="_GoBack"/>
      <w:bookmarkEnd w:id="0"/>
      <w:r>
        <w:rPr>
          <w:lang w:eastAsia="lt-LT"/>
        </w:rPr>
        <w:t xml:space="preserve">dodamasis Licencijų informacine sistema. </w:t>
      </w:r>
      <w:r>
        <w:rPr>
          <w:color w:val="000000"/>
          <w:lang w:eastAsia="lt-LT"/>
        </w:rPr>
        <w:t>Narkotikų, tabako ir alko</w:t>
      </w:r>
      <w:r>
        <w:rPr>
          <w:color w:val="000000"/>
          <w:lang w:eastAsia="lt-LT"/>
        </w:rPr>
        <w:t>holio kontrolės departamentas informaciją į Licencijų informacinę sistemą teikia vadovaudamasis Lietuvos Respublikos Vyriausybės 2012 m. liepos 18 d. nutarimu Nr. 937 „Dėl Licencijavimo pagrindų aprašo patvirtinimo“.</w:t>
      </w:r>
      <w:r>
        <w:rPr>
          <w:lang w:eastAsia="lt-LT"/>
        </w:rPr>
        <w:t>“</w:t>
      </w:r>
    </w:p>
    <w:p w14:paraId="3832CDE3" w14:textId="77777777" w:rsidR="00523B57" w:rsidRDefault="008B3A25">
      <w:pPr>
        <w:tabs>
          <w:tab w:val="left" w:pos="709"/>
          <w:tab w:val="left" w:pos="1134"/>
        </w:tabs>
        <w:ind w:left="1849" w:hanging="1140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1.3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Pripažinti netekusiais ga</w:t>
      </w:r>
      <w:r>
        <w:rPr>
          <w:lang w:eastAsia="lt-LT"/>
        </w:rPr>
        <w:t>lios 16 ir 17 punktus.</w:t>
      </w:r>
    </w:p>
    <w:p w14:paraId="3832CDE4" w14:textId="77777777" w:rsidR="00523B57" w:rsidRDefault="008B3A25">
      <w:pPr>
        <w:ind w:left="1134" w:hanging="425"/>
        <w:rPr>
          <w:color w:val="000000"/>
          <w:szCs w:val="24"/>
        </w:rPr>
      </w:pPr>
      <w:r>
        <w:rPr>
          <w:color w:val="000000"/>
          <w:szCs w:val="24"/>
        </w:rPr>
        <w:t>1.4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Pakeisti 30.2 papunktį ir jį išdėstyti taip:</w:t>
      </w:r>
    </w:p>
    <w:p w14:paraId="3832CDE5" w14:textId="77777777" w:rsidR="00523B57" w:rsidRDefault="008B3A2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30.2</w:t>
      </w:r>
      <w:r>
        <w:rPr>
          <w:color w:val="000000"/>
          <w:szCs w:val="24"/>
        </w:rPr>
        <w:t>. reikalauti paaiškinimų, kai įmonė įspėjama apie galimą licencijos galiojimo sustabdymą ar licencijos galiojimo panaikinimą, kai licencijos galiojimas panaikinamas ar sust</w:t>
      </w:r>
      <w:r>
        <w:rPr>
          <w:color w:val="000000"/>
          <w:szCs w:val="24"/>
        </w:rPr>
        <w:t>abdomas, atsisakoma licenciją patikslinti;“.</w:t>
      </w:r>
    </w:p>
    <w:p w14:paraId="3832CDE6" w14:textId="77777777" w:rsidR="00523B57" w:rsidRDefault="008B3A25">
      <w:pPr>
        <w:ind w:left="1134" w:hanging="425"/>
        <w:rPr>
          <w:color w:val="000000"/>
          <w:szCs w:val="24"/>
        </w:rPr>
      </w:pPr>
      <w:r>
        <w:rPr>
          <w:color w:val="000000"/>
          <w:szCs w:val="24"/>
        </w:rPr>
        <w:t>1.5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Pakeisti 37 punktą ir jį išdėstyti taip:</w:t>
      </w:r>
    </w:p>
    <w:p w14:paraId="3832CDE7" w14:textId="77777777" w:rsidR="00523B57" w:rsidRDefault="008B3A2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37</w:t>
      </w:r>
      <w:r>
        <w:rPr>
          <w:color w:val="000000"/>
          <w:szCs w:val="24"/>
        </w:rPr>
        <w:t>. Narkotikų, tabako ir alkoholio kontrolės departamentas turi užtikrinti, kad visa informacija ir (ar) dokumentai apie ketinimą vykdyti veiklą, paraiška</w:t>
      </w:r>
      <w:r>
        <w:rPr>
          <w:color w:val="000000"/>
          <w:szCs w:val="24"/>
        </w:rPr>
        <w:t xml:space="preserve"> išduoti licenciją, sprendimas išduoti licenciją, atsisakyti išduoti licenciją, sustabdyti licencijos galiojimą, panaikinti licencijos galiojimo sustabdymą ar panaikinti licencijos galiojimą, taip pat licencijuojamos veiklos sąlygų laikymosi priežiūros įve</w:t>
      </w:r>
      <w:r>
        <w:rPr>
          <w:color w:val="000000"/>
          <w:szCs w:val="24"/>
        </w:rPr>
        <w:t>rtinimo dokumentai ir kita būtų vieši, jeigu tokia informacija ir dokumentai, vadovaujantis Europos Sąjungos ir Lietuvos Respublikos teisės aktais, gali būti skelbiami.“</w:t>
      </w:r>
    </w:p>
    <w:p w14:paraId="3832CDE8" w14:textId="77777777" w:rsidR="00523B57" w:rsidRDefault="008B3A25">
      <w:pPr>
        <w:ind w:left="1134" w:right="-227" w:hanging="42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Šis nutarimas įsigalioja 2020 m. kovo 1 d.</w:t>
      </w:r>
    </w:p>
    <w:p w14:paraId="3832CDE9" w14:textId="77777777" w:rsidR="00523B57" w:rsidRDefault="00523B57">
      <w:pPr>
        <w:jc w:val="both"/>
        <w:rPr>
          <w:lang w:eastAsia="lt-LT"/>
        </w:rPr>
      </w:pPr>
    </w:p>
    <w:p w14:paraId="3832CDEA" w14:textId="77777777" w:rsidR="00523B57" w:rsidRDefault="00523B57">
      <w:pPr>
        <w:jc w:val="both"/>
        <w:rPr>
          <w:lang w:eastAsia="lt-LT"/>
        </w:rPr>
      </w:pPr>
    </w:p>
    <w:p w14:paraId="3832CDEB" w14:textId="77777777" w:rsidR="00523B57" w:rsidRDefault="008B3A25">
      <w:pPr>
        <w:jc w:val="both"/>
        <w:rPr>
          <w:lang w:eastAsia="lt-LT"/>
        </w:rPr>
      </w:pPr>
    </w:p>
    <w:p w14:paraId="3832CDEC" w14:textId="77777777" w:rsidR="00523B57" w:rsidRDefault="008B3A25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Ministrą Pirmininką pavad</w:t>
      </w:r>
      <w:r>
        <w:rPr>
          <w:szCs w:val="24"/>
          <w:lang w:eastAsia="lt-LT"/>
        </w:rPr>
        <w:t xml:space="preserve">uojantis </w:t>
      </w:r>
    </w:p>
    <w:p w14:paraId="3832CDED" w14:textId="77777777" w:rsidR="00523B57" w:rsidRDefault="008B3A25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energetikos ministras, laikinai einantis</w:t>
      </w:r>
    </w:p>
    <w:p w14:paraId="3832CDEE" w14:textId="3E438333" w:rsidR="00523B57" w:rsidRDefault="008B3A25" w:rsidP="008B3A25">
      <w:pPr>
        <w:tabs>
          <w:tab w:val="center" w:pos="-7800"/>
          <w:tab w:val="left" w:pos="6804"/>
          <w:tab w:val="right" w:pos="8306"/>
        </w:tabs>
        <w:rPr>
          <w:lang w:eastAsia="lt-LT"/>
        </w:rPr>
      </w:pPr>
      <w:r>
        <w:rPr>
          <w:lang w:eastAsia="lt-LT"/>
        </w:rPr>
        <w:t>ekonomikos ir inovacijų ministro pareigas</w:t>
      </w:r>
      <w:r>
        <w:rPr>
          <w:lang w:eastAsia="lt-LT"/>
        </w:rPr>
        <w:tab/>
      </w:r>
      <w:r>
        <w:rPr>
          <w:lang w:eastAsia="lt-LT"/>
        </w:rPr>
        <w:t xml:space="preserve"> Žygimantas Vaičiūnas</w:t>
      </w:r>
    </w:p>
    <w:p w14:paraId="3832CDF0" w14:textId="77777777" w:rsidR="00523B57" w:rsidRDefault="00523B5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832CDF1" w14:textId="77777777" w:rsidR="00523B57" w:rsidRDefault="008B3A2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Žemės ūkio ministras</w:t>
      </w:r>
      <w:r>
        <w:rPr>
          <w:lang w:eastAsia="lt-LT"/>
        </w:rPr>
        <w:tab/>
        <w:t xml:space="preserve">           Andrius Palionis</w:t>
      </w:r>
    </w:p>
    <w:sectPr w:rsidR="00523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2CDF6" w14:textId="77777777" w:rsidR="00523B57" w:rsidRDefault="008B3A2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832CDF7" w14:textId="77777777" w:rsidR="00523B57" w:rsidRDefault="008B3A2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CDFC" w14:textId="77777777" w:rsidR="00523B57" w:rsidRDefault="00523B5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CDFD" w14:textId="77777777" w:rsidR="00523B57" w:rsidRDefault="00523B5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CDFF" w14:textId="77777777" w:rsidR="00523B57" w:rsidRDefault="00523B5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CDF4" w14:textId="77777777" w:rsidR="00523B57" w:rsidRDefault="008B3A2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832CDF5" w14:textId="77777777" w:rsidR="00523B57" w:rsidRDefault="008B3A2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CDF8" w14:textId="77777777" w:rsidR="00523B57" w:rsidRDefault="008B3A2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832CDF9" w14:textId="77777777" w:rsidR="00523B57" w:rsidRDefault="00523B5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CDFA" w14:textId="77777777" w:rsidR="00523B57" w:rsidRDefault="008B3A2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832CDFB" w14:textId="77777777" w:rsidR="00523B57" w:rsidRDefault="00523B5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CDFE" w14:textId="77777777" w:rsidR="00523B57" w:rsidRDefault="00523B5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55"/>
    <w:rsid w:val="004F5055"/>
    <w:rsid w:val="00523B57"/>
    <w:rsid w:val="008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32C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3A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3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9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2B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2B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2338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2020-02-26T06:20:00Z</dcterms:created>
  <dc:creator>Jūratė Kišerauskė</dc:creator>
  <lastModifiedBy>TRAPINSKIENĖ Aušrinė</lastModifiedBy>
  <lastPrinted>2017-06-01T05:28:00Z</lastPrinted>
  <dcterms:modified xsi:type="dcterms:W3CDTF">2020-02-26T06:37:00Z</dcterms:modified>
  <revision>3</revision>
</coreProperties>
</file>