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D98B8" w14:textId="77777777" w:rsidR="008D74A5" w:rsidRDefault="006160AC">
      <w:pPr>
        <w:widowControl w:val="0"/>
        <w:tabs>
          <w:tab w:val="right" w:pos="9808"/>
        </w:tabs>
        <w:suppressAutoHyphens/>
        <w:jc w:val="center"/>
        <w:textAlignment w:val="center"/>
        <w:rPr>
          <w:color w:val="000000"/>
          <w:szCs w:val="24"/>
          <w:lang w:eastAsia="lt-LT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3B0D98CE" wp14:editId="3B0D98CF">
            <wp:extent cx="553085" cy="5632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D98BA" w14:textId="77777777" w:rsidR="008D74A5" w:rsidRDefault="006160AC">
      <w:pPr>
        <w:widowControl w:val="0"/>
        <w:tabs>
          <w:tab w:val="right" w:pos="9808"/>
        </w:tabs>
        <w:suppressAutoHyphens/>
        <w:jc w:val="center"/>
        <w:textAlignment w:val="center"/>
        <w:rPr>
          <w:b/>
          <w:color w:val="000000"/>
          <w:szCs w:val="24"/>
          <w:lang w:eastAsia="lt-LT"/>
        </w:rPr>
      </w:pPr>
      <w:bookmarkStart w:id="0" w:name="_GoBack"/>
      <w:bookmarkEnd w:id="0"/>
      <w:r>
        <w:rPr>
          <w:b/>
          <w:color w:val="000000"/>
          <w:szCs w:val="24"/>
          <w:lang w:eastAsia="lt-LT"/>
        </w:rPr>
        <w:t>VIEŠŲJŲ PIRKIMŲ TARNYBOS</w:t>
      </w:r>
    </w:p>
    <w:p w14:paraId="3B0D98BB" w14:textId="77777777" w:rsidR="008D74A5" w:rsidRDefault="006160AC">
      <w:pPr>
        <w:widowControl w:val="0"/>
        <w:tabs>
          <w:tab w:val="center" w:pos="4986"/>
          <w:tab w:val="left" w:pos="6765"/>
          <w:tab w:val="right" w:pos="9808"/>
        </w:tabs>
        <w:suppressAutoHyphens/>
        <w:jc w:val="center"/>
        <w:textAlignment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DIREKTORIUS</w:t>
      </w:r>
    </w:p>
    <w:p w14:paraId="3B0D98BC" w14:textId="77777777" w:rsidR="008D74A5" w:rsidRDefault="008D74A5">
      <w:pPr>
        <w:widowControl w:val="0"/>
        <w:tabs>
          <w:tab w:val="right" w:pos="9808"/>
        </w:tabs>
        <w:suppressAutoHyphens/>
        <w:jc w:val="center"/>
        <w:textAlignment w:val="center"/>
        <w:rPr>
          <w:b/>
          <w:color w:val="000000"/>
          <w:szCs w:val="24"/>
          <w:lang w:eastAsia="lt-LT"/>
        </w:rPr>
      </w:pPr>
    </w:p>
    <w:p w14:paraId="3B0D98BD" w14:textId="77777777" w:rsidR="008D74A5" w:rsidRDefault="006160AC">
      <w:pPr>
        <w:widowControl w:val="0"/>
        <w:tabs>
          <w:tab w:val="right" w:pos="9808"/>
        </w:tabs>
        <w:suppressAutoHyphens/>
        <w:jc w:val="center"/>
        <w:textAlignment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ĮSAKYMAS</w:t>
      </w:r>
    </w:p>
    <w:p w14:paraId="3B0D98BE" w14:textId="77777777" w:rsidR="008D74A5" w:rsidRDefault="006160AC">
      <w:pPr>
        <w:ind w:firstLine="720"/>
        <w:jc w:val="center"/>
        <w:rPr>
          <w:b/>
          <w:position w:val="-1"/>
          <w:szCs w:val="24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TECHNINĖS KLAIDOS ATITAISYMO VIEŠŲJŲ PIRKIMŲ TARNYBOS DIREKTORIAUS 2017 M. BIRŽELIO 28 D. ĮSAKYME NR. 1S-95 „DĖL </w:t>
      </w:r>
      <w:r>
        <w:rPr>
          <w:b/>
          <w:spacing w:val="-2"/>
          <w:position w:val="-1"/>
          <w:szCs w:val="24"/>
        </w:rPr>
        <w:t>K</w:t>
      </w:r>
      <w:r>
        <w:rPr>
          <w:b/>
          <w:position w:val="-1"/>
          <w:szCs w:val="24"/>
        </w:rPr>
        <w:t>AI</w:t>
      </w:r>
      <w:r>
        <w:rPr>
          <w:b/>
          <w:spacing w:val="-1"/>
          <w:position w:val="-1"/>
          <w:szCs w:val="24"/>
        </w:rPr>
        <w:t>N</w:t>
      </w:r>
      <w:r>
        <w:rPr>
          <w:b/>
          <w:position w:val="-1"/>
          <w:szCs w:val="24"/>
        </w:rPr>
        <w:t>O</w:t>
      </w:r>
      <w:r>
        <w:rPr>
          <w:b/>
          <w:spacing w:val="2"/>
          <w:position w:val="-1"/>
          <w:szCs w:val="24"/>
        </w:rPr>
        <w:t>D</w:t>
      </w:r>
      <w:r>
        <w:rPr>
          <w:b/>
          <w:position w:val="-1"/>
          <w:szCs w:val="24"/>
        </w:rPr>
        <w:t>A</w:t>
      </w:r>
      <w:r>
        <w:rPr>
          <w:b/>
          <w:spacing w:val="-1"/>
          <w:position w:val="-1"/>
          <w:szCs w:val="24"/>
        </w:rPr>
        <w:t>R</w:t>
      </w:r>
      <w:r>
        <w:rPr>
          <w:b/>
          <w:position w:val="-1"/>
          <w:szCs w:val="24"/>
        </w:rPr>
        <w:t>OS</w:t>
      </w:r>
      <w:r>
        <w:rPr>
          <w:b/>
          <w:spacing w:val="1"/>
          <w:position w:val="-1"/>
          <w:szCs w:val="24"/>
        </w:rPr>
        <w:t xml:space="preserve"> </w:t>
      </w:r>
      <w:r>
        <w:rPr>
          <w:b/>
          <w:position w:val="-1"/>
          <w:szCs w:val="24"/>
        </w:rPr>
        <w:t>TAISY</w:t>
      </w:r>
      <w:r>
        <w:rPr>
          <w:b/>
          <w:spacing w:val="-2"/>
          <w:position w:val="-1"/>
          <w:szCs w:val="24"/>
        </w:rPr>
        <w:t>K</w:t>
      </w:r>
      <w:r>
        <w:rPr>
          <w:b/>
          <w:position w:val="-1"/>
          <w:szCs w:val="24"/>
        </w:rPr>
        <w:t>LIŲ NUSTATYMO METODIKOS PATVIRTINIMO“</w:t>
      </w:r>
    </w:p>
    <w:p w14:paraId="3B0D98BF" w14:textId="77777777" w:rsidR="008D74A5" w:rsidRDefault="008D74A5">
      <w:pPr>
        <w:keepLines/>
        <w:widowControl w:val="0"/>
        <w:tabs>
          <w:tab w:val="right" w:pos="9808"/>
        </w:tabs>
        <w:suppressAutoHyphens/>
        <w:ind w:left="142"/>
        <w:jc w:val="center"/>
        <w:textAlignment w:val="center"/>
        <w:rPr>
          <w:b/>
          <w:bCs/>
          <w:caps/>
          <w:color w:val="000000"/>
          <w:szCs w:val="24"/>
          <w:lang w:eastAsia="lt-LT"/>
        </w:rPr>
      </w:pPr>
    </w:p>
    <w:p w14:paraId="3B0D98C0" w14:textId="0652AAAC" w:rsidR="008D74A5" w:rsidRDefault="006160AC">
      <w:pPr>
        <w:widowControl w:val="0"/>
        <w:tabs>
          <w:tab w:val="right" w:pos="9808"/>
        </w:tabs>
        <w:suppressAutoHyphens/>
        <w:jc w:val="center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2017 m. birželio 29 d. Nr. 1S-104 </w:t>
      </w:r>
    </w:p>
    <w:p w14:paraId="3B0D98C1" w14:textId="77777777" w:rsidR="008D74A5" w:rsidRDefault="006160AC">
      <w:pPr>
        <w:widowControl w:val="0"/>
        <w:tabs>
          <w:tab w:val="right" w:pos="9808"/>
        </w:tabs>
        <w:suppressAutoHyphens/>
        <w:jc w:val="center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3B0D98C2" w14:textId="77777777" w:rsidR="008D74A5" w:rsidRDefault="008D74A5">
      <w:pPr>
        <w:widowControl w:val="0"/>
        <w:suppressAutoHyphens/>
        <w:jc w:val="center"/>
        <w:textAlignment w:val="center"/>
        <w:rPr>
          <w:color w:val="000000"/>
          <w:szCs w:val="24"/>
          <w:lang w:eastAsia="lt-LT"/>
        </w:rPr>
      </w:pPr>
    </w:p>
    <w:p w14:paraId="3B0D98C3" w14:textId="77777777" w:rsidR="008D74A5" w:rsidRDefault="008D74A5">
      <w:pPr>
        <w:widowControl w:val="0"/>
        <w:suppressAutoHyphens/>
        <w:jc w:val="center"/>
        <w:textAlignment w:val="center"/>
        <w:rPr>
          <w:color w:val="000000"/>
          <w:szCs w:val="24"/>
          <w:lang w:eastAsia="lt-LT"/>
        </w:rPr>
      </w:pPr>
    </w:p>
    <w:p w14:paraId="3B0D98C4" w14:textId="77777777" w:rsidR="008D74A5" w:rsidRDefault="006160AC">
      <w:pPr>
        <w:widowControl w:val="0"/>
        <w:tabs>
          <w:tab w:val="right" w:pos="9808"/>
        </w:tabs>
        <w:suppressAutoHyphens/>
        <w:ind w:firstLine="1080"/>
        <w:jc w:val="both"/>
        <w:textAlignment w:val="center"/>
        <w:rPr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  A t i t a i s a u  techninę klaidą Kainodaros taisyklių nustatymo metodikos, patvirtintos </w:t>
      </w:r>
      <w:r>
        <w:rPr>
          <w:bCs/>
          <w:color w:val="000000"/>
          <w:szCs w:val="24"/>
          <w:lang w:eastAsia="lt-LT"/>
        </w:rPr>
        <w:t xml:space="preserve">Viešųjų pirkimų tarnybos direktoriaus 2017 m. birželio 28 d. įsakymu Nr. 1S-95 „Dėl </w:t>
      </w:r>
      <w:r>
        <w:rPr>
          <w:color w:val="000000"/>
          <w:szCs w:val="24"/>
          <w:lang w:eastAsia="lt-LT"/>
        </w:rPr>
        <w:t xml:space="preserve">Kainodaros taisyklių nustatymo </w:t>
      </w:r>
      <w:r>
        <w:rPr>
          <w:color w:val="000000"/>
          <w:szCs w:val="24"/>
          <w:lang w:eastAsia="lt-LT"/>
        </w:rPr>
        <w:t>metodikos patvirtinimo</w:t>
      </w:r>
      <w:r>
        <w:rPr>
          <w:bCs/>
          <w:color w:val="000000"/>
          <w:szCs w:val="24"/>
          <w:lang w:eastAsia="lt-LT"/>
        </w:rPr>
        <w:t>“, 12 punkte ir šį punktą išdėstau taip:</w:t>
      </w:r>
    </w:p>
    <w:p w14:paraId="3B0D98C5" w14:textId="77777777" w:rsidR="008D74A5" w:rsidRDefault="006160AC">
      <w:pPr>
        <w:widowControl w:val="0"/>
        <w:tabs>
          <w:tab w:val="right" w:pos="9808"/>
        </w:tabs>
        <w:suppressAutoHyphens/>
        <w:ind w:firstLine="1080"/>
        <w:jc w:val="both"/>
        <w:textAlignment w:val="center"/>
        <w:rPr>
          <w:color w:val="000000"/>
          <w:szCs w:val="24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bCs/>
          <w:color w:val="000000"/>
          <w:szCs w:val="24"/>
          <w:lang w:eastAsia="lt-LT"/>
        </w:rPr>
        <w:t>12</w:t>
      </w:r>
      <w:r>
        <w:rPr>
          <w:bCs/>
          <w:color w:val="000000"/>
          <w:szCs w:val="24"/>
          <w:lang w:eastAsia="lt-LT"/>
        </w:rPr>
        <w:t>. </w:t>
      </w:r>
      <w:r>
        <w:rPr>
          <w:color w:val="000000"/>
          <w:szCs w:val="24"/>
        </w:rPr>
        <w:t>Fiksuotas įkainis su peržiūra gali būti nustatomas esant Metodikos 10 punkte nurodytoms sąlygoms bei siekiant lankstesnio sutarties vykdymo (ypač ilgesnės trukmės sutartims). Tais atveja</w:t>
      </w:r>
      <w:r>
        <w:rPr>
          <w:color w:val="000000"/>
          <w:szCs w:val="24"/>
        </w:rPr>
        <w:t>is, kai paslaugų sutarties trukmė kartu su numatytu sutarties pratęsimu yra ilgesnė nei 3 metai, pirkimo vykdytojas privalo numatyti fiksuotą įkainį su peržiūra arba kitą kainos apskaičiavimo būdą, kartu pirkimo dokumentuose ir sutartyje numatant peržiūros</w:t>
      </w:r>
      <w:r>
        <w:rPr>
          <w:color w:val="000000"/>
          <w:szCs w:val="24"/>
        </w:rPr>
        <w:t xml:space="preserve"> sąlygas pagal Metodikos 23.1 papunktį.“</w:t>
      </w:r>
    </w:p>
    <w:p w14:paraId="3B0D98C7" w14:textId="1901FD81" w:rsidR="008D74A5" w:rsidRDefault="006160AC">
      <w:pPr>
        <w:widowControl w:val="0"/>
        <w:tabs>
          <w:tab w:val="right" w:pos="9808"/>
        </w:tabs>
        <w:suppressAutoHyphens/>
        <w:ind w:firstLine="1080"/>
        <w:jc w:val="both"/>
        <w:textAlignment w:val="center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  N u s t a t a u,  kad šis įsakymas įsigalioja 2017 m. liepos 1 d. </w:t>
      </w:r>
    </w:p>
    <w:p w14:paraId="2CED989E" w14:textId="77777777" w:rsidR="006160AC" w:rsidRDefault="006160AC">
      <w:pPr>
        <w:widowControl w:val="0"/>
        <w:tabs>
          <w:tab w:val="right" w:pos="9808"/>
        </w:tabs>
        <w:suppressAutoHyphens/>
        <w:jc w:val="both"/>
        <w:textAlignment w:val="center"/>
      </w:pPr>
    </w:p>
    <w:p w14:paraId="781E5BE0" w14:textId="77777777" w:rsidR="006160AC" w:rsidRDefault="006160AC">
      <w:pPr>
        <w:widowControl w:val="0"/>
        <w:tabs>
          <w:tab w:val="right" w:pos="9808"/>
        </w:tabs>
        <w:suppressAutoHyphens/>
        <w:jc w:val="both"/>
        <w:textAlignment w:val="center"/>
      </w:pPr>
    </w:p>
    <w:p w14:paraId="3FB7A466" w14:textId="77777777" w:rsidR="006160AC" w:rsidRDefault="006160AC">
      <w:pPr>
        <w:widowControl w:val="0"/>
        <w:tabs>
          <w:tab w:val="right" w:pos="9808"/>
        </w:tabs>
        <w:suppressAutoHyphens/>
        <w:jc w:val="both"/>
        <w:textAlignment w:val="center"/>
      </w:pPr>
    </w:p>
    <w:p w14:paraId="3B0D98C8" w14:textId="3204AAEF" w:rsidR="008D74A5" w:rsidRDefault="006160AC">
      <w:pPr>
        <w:widowControl w:val="0"/>
        <w:tabs>
          <w:tab w:val="right" w:pos="9808"/>
        </w:tabs>
        <w:suppressAutoHyphens/>
        <w:jc w:val="both"/>
        <w:textAlignment w:val="center"/>
        <w:rPr>
          <w:color w:val="000000"/>
          <w:szCs w:val="24"/>
          <w:lang w:eastAsia="lt-LT"/>
        </w:rPr>
      </w:pPr>
      <w:r>
        <w:rPr>
          <w:position w:val="-1"/>
          <w:szCs w:val="24"/>
        </w:rPr>
        <w:t xml:space="preserve">Direktorė </w:t>
      </w:r>
      <w:r>
        <w:rPr>
          <w:position w:val="-1"/>
          <w:szCs w:val="24"/>
        </w:rPr>
        <w:tab/>
        <w:t>Diana Vilytė</w:t>
      </w:r>
    </w:p>
    <w:p w14:paraId="3B0D98CD" w14:textId="77777777" w:rsidR="008D74A5" w:rsidRDefault="006160AC">
      <w:pPr>
        <w:jc w:val="both"/>
        <w:rPr>
          <w:color w:val="000000"/>
          <w:szCs w:val="24"/>
          <w:lang w:eastAsia="lt-LT"/>
        </w:rPr>
      </w:pPr>
    </w:p>
    <w:sectPr w:rsidR="008D74A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43"/>
    <w:rsid w:val="001B7D43"/>
    <w:rsid w:val="006160AC"/>
    <w:rsid w:val="008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9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2017-06-30T06:43:00Z</dcterms:created>
  <dc:creator>Rasa Politikienė</dc:creator>
  <lastModifiedBy>SKAPAITĖ Dalia</lastModifiedBy>
  <lastPrinted>2017-06-29T13:45:00Z</lastPrinted>
  <dcterms:modified xsi:type="dcterms:W3CDTF">2017-06-30T06:46:00Z</dcterms:modified>
  <revision>3</revision>
</coreProperties>
</file>