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654A" w14:textId="77777777" w:rsidR="00790DBB" w:rsidRDefault="00790DB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A4B654B" w14:textId="77777777" w:rsidR="00790DBB" w:rsidRDefault="00617AA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A4B6596" wp14:editId="7A4B659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654C" w14:textId="77777777" w:rsidR="00790DBB" w:rsidRDefault="00790DBB">
      <w:pPr>
        <w:jc w:val="center"/>
        <w:rPr>
          <w:caps/>
          <w:sz w:val="12"/>
          <w:szCs w:val="12"/>
        </w:rPr>
      </w:pPr>
    </w:p>
    <w:p w14:paraId="7A4B654D" w14:textId="77777777" w:rsidR="00790DBB" w:rsidRDefault="00617AA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A4B654E" w14:textId="77777777" w:rsidR="00790DBB" w:rsidRDefault="00617AAC">
      <w:pPr>
        <w:jc w:val="center"/>
        <w:rPr>
          <w:b/>
          <w:caps/>
        </w:rPr>
      </w:pPr>
      <w:r>
        <w:rPr>
          <w:b/>
          <w:caps/>
        </w:rPr>
        <w:t>ŽMOGAUS MIRTIES NUSTATYMO IR KRITINIŲ BŪKLIŲ ĮSTATYMO NR. VIII-157 2, 5, 7, 8, 9, 13, 14, 15, 16 STRAIPSNIŲ PAKEITIMO IR 6 STRAIPSNIO PRIPAŽINIMO NETEKUSIU GALIOS</w:t>
      </w:r>
    </w:p>
    <w:p w14:paraId="7A4B654F" w14:textId="77777777" w:rsidR="00790DBB" w:rsidRDefault="00617AAC">
      <w:pPr>
        <w:jc w:val="center"/>
        <w:rPr>
          <w:caps/>
        </w:rPr>
      </w:pPr>
      <w:r>
        <w:rPr>
          <w:b/>
          <w:caps/>
        </w:rPr>
        <w:t>ĮSTATYMAS</w:t>
      </w:r>
    </w:p>
    <w:p w14:paraId="7A4B6550" w14:textId="77777777" w:rsidR="00790DBB" w:rsidRDefault="00790DBB">
      <w:pPr>
        <w:jc w:val="center"/>
        <w:rPr>
          <w:b/>
          <w:caps/>
        </w:rPr>
      </w:pPr>
    </w:p>
    <w:p w14:paraId="7A4B6551" w14:textId="77777777" w:rsidR="00790DBB" w:rsidRDefault="00617AAC">
      <w:pPr>
        <w:jc w:val="center"/>
        <w:rPr>
          <w:sz w:val="22"/>
        </w:rPr>
      </w:pPr>
      <w:r>
        <w:rPr>
          <w:sz w:val="22"/>
        </w:rPr>
        <w:t>2015 m. lapkričio 19 d. Nr. XII-2044</w:t>
      </w:r>
    </w:p>
    <w:p w14:paraId="7A4B6552" w14:textId="77777777" w:rsidR="00790DBB" w:rsidRDefault="00617AAC">
      <w:pPr>
        <w:jc w:val="center"/>
        <w:rPr>
          <w:sz w:val="22"/>
        </w:rPr>
      </w:pPr>
      <w:r>
        <w:rPr>
          <w:sz w:val="22"/>
        </w:rPr>
        <w:t>Vilnius</w:t>
      </w:r>
    </w:p>
    <w:p w14:paraId="7A4B6553" w14:textId="77777777" w:rsidR="00790DBB" w:rsidRDefault="00790DBB">
      <w:pPr>
        <w:jc w:val="center"/>
        <w:rPr>
          <w:sz w:val="22"/>
        </w:rPr>
      </w:pPr>
    </w:p>
    <w:p w14:paraId="7A4B6554" w14:textId="77777777" w:rsidR="00790DBB" w:rsidRDefault="00790DBB">
      <w:pPr>
        <w:spacing w:line="360" w:lineRule="auto"/>
        <w:ind w:firstLine="720"/>
        <w:jc w:val="both"/>
        <w:rPr>
          <w:sz w:val="16"/>
          <w:szCs w:val="16"/>
        </w:rPr>
      </w:pPr>
    </w:p>
    <w:p w14:paraId="7A4B6556" w14:textId="77777777" w:rsidR="00790DBB" w:rsidRDefault="00790DB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A4B6557" w14:textId="77777777" w:rsidR="00790DBB" w:rsidRDefault="00617AA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 straipsnio pakeitimas</w:t>
      </w:r>
    </w:p>
    <w:p w14:paraId="7A4B6558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 straipsnio 4 dalį ir ją išdėstyti taip:</w:t>
      </w:r>
    </w:p>
    <w:p w14:paraId="7A4B6559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</w:t>
      </w:r>
      <w:r>
        <w:rPr>
          <w:b/>
          <w:bCs/>
          <w:szCs w:val="24"/>
        </w:rPr>
        <w:t>Mirties faktas</w:t>
      </w:r>
      <w:r>
        <w:rPr>
          <w:szCs w:val="24"/>
        </w:rPr>
        <w:t xml:space="preserve"> – faktas, konstatuojamas pagal šio Įstatymo nuostatas nustačius negrįžtamai nutrūkusią žmogaus kraujotaką ir kvėpavimą arba smegenų mirtį.“</w:t>
      </w:r>
    </w:p>
    <w:p w14:paraId="7A4B655A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Pripažinti netekusia galios 2 straipsnio 7 dalį.</w:t>
      </w:r>
    </w:p>
    <w:p w14:paraId="7A4B655B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</w:p>
    <w:p w14:paraId="7A4B655C" w14:textId="77777777" w:rsidR="00790DBB" w:rsidRDefault="00617AA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5 straipsnio pakeitimas</w:t>
      </w:r>
    </w:p>
    <w:p w14:paraId="7A4B655D" w14:textId="77777777" w:rsidR="00790DBB" w:rsidRDefault="00617AA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</w:t>
      </w:r>
      <w:r>
        <w:rPr>
          <w:color w:val="000000"/>
          <w:szCs w:val="24"/>
          <w:lang w:eastAsia="lt-LT"/>
        </w:rPr>
        <w:t xml:space="preserve"> 5 straipsnį ir jį išdėstyti taip:</w:t>
      </w:r>
    </w:p>
    <w:p w14:paraId="7A4B655E" w14:textId="77777777" w:rsidR="00790DBB" w:rsidRDefault="00617AAC">
      <w:pPr>
        <w:spacing w:line="360" w:lineRule="auto"/>
        <w:ind w:left="2127" w:hanging="1407"/>
        <w:jc w:val="both"/>
        <w:rPr>
          <w:b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5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 xml:space="preserve">Negrįžtamo </w:t>
      </w:r>
      <w:r>
        <w:rPr>
          <w:b/>
          <w:color w:val="000000"/>
          <w:szCs w:val="24"/>
        </w:rPr>
        <w:t xml:space="preserve">žmogaus </w:t>
      </w:r>
      <w:r>
        <w:rPr>
          <w:b/>
          <w:color w:val="000000"/>
          <w:szCs w:val="24"/>
          <w:lang w:eastAsia="lt-LT"/>
        </w:rPr>
        <w:t>kraujotakos ir kvėpavimo nutrūkimo nustatymo sąlygos ir tvarka</w:t>
      </w:r>
    </w:p>
    <w:p w14:paraId="7A4B655F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</w:rPr>
        <w:t>Negrįžtamai nutrūkusi žmogaus kraujotaka ir kvėpavimas yra nustatomi, kai yra bent viena iš šių sąlygų:</w:t>
      </w:r>
    </w:p>
    <w:p w14:paraId="7A4B6560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yra ne</w:t>
      </w:r>
      <w:r>
        <w:rPr>
          <w:szCs w:val="24"/>
        </w:rPr>
        <w:t>abejotinų mirties požymių;</w:t>
      </w:r>
    </w:p>
    <w:p w14:paraId="7A4B6561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jeigu nėra neabejotinų mirties požymių, – nesant gaivinamojo kardiovaskulinės sistemos atsako į gaivinimo veiksmus.</w:t>
      </w:r>
    </w:p>
    <w:p w14:paraId="7A4B6562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Neabejotinų mirties požymių sąrašą ir gaivinimo standartus nustato sveikatos apsaugos ministras.</w:t>
      </w:r>
    </w:p>
    <w:p w14:paraId="7A4B6563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Nustatant negrįžtamą žmogaus kraujotakos ir kvėpavimo nutrūkimą, neturi teisės dalyvauti gydytojai, atliekantys transplantacijas, ir kiti mirštančiojo organų ir (ar) audinių transplantavimu suinteresuoti asmenys.</w:t>
      </w:r>
      <w:r>
        <w:rPr>
          <w:szCs w:val="24"/>
        </w:rPr>
        <w:t>“</w:t>
      </w:r>
    </w:p>
    <w:p w14:paraId="7A4B6564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</w:p>
    <w:p w14:paraId="7A4B6565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6 </w:t>
      </w:r>
      <w:r>
        <w:rPr>
          <w:b/>
          <w:szCs w:val="24"/>
        </w:rPr>
        <w:t>straipsnio pripažinimas netekusiu galios</w:t>
      </w:r>
    </w:p>
    <w:p w14:paraId="7A4B6566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6 straipsnį.</w:t>
      </w:r>
    </w:p>
    <w:p w14:paraId="7A4B6567" w14:textId="77777777" w:rsidR="00790DBB" w:rsidRDefault="00617AAC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7A4B6568" w14:textId="77777777" w:rsidR="00790DBB" w:rsidRDefault="00617AA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7 straipsnio pakeitimas</w:t>
      </w:r>
    </w:p>
    <w:p w14:paraId="7A4B6569" w14:textId="77777777" w:rsidR="00790DBB" w:rsidRDefault="00617AA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7 straipsnį ir jį išdėstyti taip:</w:t>
      </w:r>
    </w:p>
    <w:p w14:paraId="7A4B656A" w14:textId="77777777" w:rsidR="00790DBB" w:rsidRDefault="00617AA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7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Smegenų mirties nustatymo sąlygos ir tvarka</w:t>
      </w:r>
    </w:p>
    <w:p w14:paraId="7A4B656B" w14:textId="77777777" w:rsidR="00790DBB" w:rsidRDefault="00617AAC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Smegenų mirtis</w:t>
      </w:r>
      <w:r>
        <w:rPr>
          <w:szCs w:val="24"/>
          <w:lang w:eastAsia="lt-LT"/>
        </w:rPr>
        <w:t xml:space="preserve"> nustatoma </w:t>
      </w:r>
      <w:r>
        <w:rPr>
          <w:szCs w:val="24"/>
        </w:rPr>
        <w:t>sveikatos apsaugos ministro patvirtintais</w:t>
      </w:r>
      <w:r>
        <w:rPr>
          <w:szCs w:val="24"/>
          <w:lang w:eastAsia="lt-LT"/>
        </w:rPr>
        <w:t xml:space="preserve"> tyrimų metodais įrodžius, kad visų žmogaus galvos smegenų veikla yra negrįžtamai nutrūkusi.</w:t>
      </w:r>
    </w:p>
    <w:p w14:paraId="7A4B656C" w14:textId="77777777" w:rsidR="00790DBB" w:rsidRDefault="00617AAC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Smegenų mirtis nustatoma, kai yra abi šios sąlygos:</w:t>
      </w:r>
    </w:p>
    <w:p w14:paraId="7A4B656D" w14:textId="77777777" w:rsidR="00790DBB" w:rsidRDefault="00617AAC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) smegenų mirtis nustatoma stacionarinėje asmens </w:t>
      </w:r>
      <w:r>
        <w:rPr>
          <w:szCs w:val="24"/>
          <w:lang w:eastAsia="lt-LT"/>
        </w:rPr>
        <w:t>sveikatos priežiūros įstaigoje;</w:t>
      </w:r>
    </w:p>
    <w:p w14:paraId="7A4B656E" w14:textId="77777777" w:rsidR="00790DBB" w:rsidRDefault="00617AAC">
      <w:pPr>
        <w:tabs>
          <w:tab w:val="left" w:pos="-3828"/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smegenų mirtį nustato konsiliumas iš ne mažiau kaip trijų gydytojų, iš kurių vienas turi būti neurologas ar vaikų neurologas arba neurochirurgas.</w:t>
      </w:r>
    </w:p>
    <w:p w14:paraId="7A4B656F" w14:textId="77777777" w:rsidR="00790DBB" w:rsidRDefault="00617AAC">
      <w:pPr>
        <w:tabs>
          <w:tab w:val="left" w:pos="-3119"/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Nustatant smegenų mirtį, neturi teisės dalyvauti gydytojai, at</w:t>
      </w:r>
      <w:r>
        <w:rPr>
          <w:szCs w:val="24"/>
          <w:lang w:eastAsia="lt-LT"/>
        </w:rPr>
        <w:t>liekantys transplantacijas, ir kiti mirštančiojo organų ir (ar) audinių transplantavimu suinteresuoti asmenys.</w:t>
      </w:r>
      <w:r>
        <w:rPr>
          <w:szCs w:val="24"/>
        </w:rPr>
        <w:t>“</w:t>
      </w:r>
    </w:p>
    <w:p w14:paraId="7A4B6570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</w:p>
    <w:p w14:paraId="7A4B6571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8 straipsnio pakeitimas </w:t>
      </w:r>
    </w:p>
    <w:p w14:paraId="7A4B6572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8 straipsnį ir jį išdėstyti taip:</w:t>
      </w:r>
    </w:p>
    <w:p w14:paraId="7A4B6573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8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Mirties fakto nustatymo </w:t>
      </w:r>
      <w:r>
        <w:rPr>
          <w:b/>
          <w:szCs w:val="24"/>
        </w:rPr>
        <w:t>pasekmės</w:t>
      </w:r>
    </w:p>
    <w:p w14:paraId="7A4B6574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Nustačius mirties faktą, visos žmogui taikomos medicinos pagalbos priemonės nutraukiamos, jeigu mirusiojo organų ir (ar) audinių nenumatoma panaudoti transplantacijai.</w:t>
      </w:r>
    </w:p>
    <w:p w14:paraId="7A4B6575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Apie asmens, kurio audiniai ir (ar) organai gali būti panaudoti t</w:t>
      </w:r>
      <w:r>
        <w:rPr>
          <w:szCs w:val="24"/>
        </w:rPr>
        <w:t>ransplantacijai, mirties faktą turi būti pranešama Nacionaliniam transplantacijos biurui prie Sveikatos apsaugos ministerijos.</w:t>
      </w:r>
    </w:p>
    <w:p w14:paraId="7A4B6576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>Jeigu mirusiojo organus ir (ar) audinius numatoma panaudoti transplantacijai, leidžiama jam taikyti tik tas medicinos paga</w:t>
      </w:r>
      <w:r>
        <w:rPr>
          <w:color w:val="000000"/>
          <w:szCs w:val="24"/>
          <w:lang w:eastAsia="lt-LT"/>
        </w:rPr>
        <w:t>lbos priemones, kuriomis stengiamasi užtikrinti organų, audinių tinkamumą persodinti į kito žmogaus kūną.</w:t>
      </w:r>
      <w:r>
        <w:rPr>
          <w:color w:val="000000"/>
          <w:szCs w:val="24"/>
        </w:rPr>
        <w:t>“</w:t>
      </w:r>
    </w:p>
    <w:p w14:paraId="7A4B6577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A4B6578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color w:val="000000"/>
          <w:szCs w:val="24"/>
        </w:rPr>
        <w:t>6</w:t>
      </w:r>
      <w:r>
        <w:rPr>
          <w:b/>
          <w:color w:val="000000"/>
          <w:szCs w:val="24"/>
        </w:rPr>
        <w:t xml:space="preserve"> straipsnis. </w:t>
      </w:r>
      <w:r>
        <w:rPr>
          <w:b/>
          <w:szCs w:val="24"/>
        </w:rPr>
        <w:t>9 straipsnio pakeitimas</w:t>
      </w:r>
    </w:p>
    <w:p w14:paraId="7A4B6579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9 straipsnio 2 dalį ir ją išdėstyti taip:</w:t>
      </w:r>
    </w:p>
    <w:p w14:paraId="7A4B657A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  <w:shd w:val="clear" w:color="auto" w:fill="FFFFFF"/>
        </w:rPr>
        <w:t>2</w:t>
      </w:r>
      <w:r>
        <w:rPr>
          <w:color w:val="000000"/>
          <w:szCs w:val="24"/>
          <w:shd w:val="clear" w:color="auto" w:fill="FFFFFF"/>
        </w:rPr>
        <w:t xml:space="preserve">. Sveikatos priežiūros ir farmacijos </w:t>
      </w:r>
      <w:r>
        <w:rPr>
          <w:color w:val="000000"/>
          <w:szCs w:val="24"/>
          <w:shd w:val="clear" w:color="auto" w:fill="FFFFFF"/>
        </w:rPr>
        <w:t>specialistų kompetenciją teikti pirmąją medicinos pagalbą nustato sveikatos apsaugos ministras. Vyriausybės nustatyto sąrašo profesijų, darbų ir veiklos sričių darbuotojų bei transporto priemonių vairuotojų mėgėjų, buvusių kartu su nukentėjusiaisiais ar li</w:t>
      </w:r>
      <w:r>
        <w:rPr>
          <w:color w:val="000000"/>
          <w:szCs w:val="24"/>
          <w:shd w:val="clear" w:color="auto" w:fill="FFFFFF"/>
        </w:rPr>
        <w:t>goniais nelaimingų atsitikimų ar ūmaus gyvybei pavojingo susirgimo vietose ir privalančių suteikti jiems pirmąją pagalbą, taip pat įstatymų nustatytų kitų asmenų kompetenciją šiais klausimais nustato Vyriausybė.“</w:t>
      </w:r>
    </w:p>
    <w:p w14:paraId="7A4B657B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A4B657C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color w:val="000000"/>
          <w:szCs w:val="24"/>
        </w:rPr>
        <w:t>7</w:t>
      </w:r>
      <w:r>
        <w:rPr>
          <w:b/>
          <w:color w:val="000000"/>
          <w:szCs w:val="24"/>
        </w:rPr>
        <w:t xml:space="preserve"> straipsnis. </w:t>
      </w:r>
      <w:r>
        <w:rPr>
          <w:b/>
          <w:szCs w:val="24"/>
        </w:rPr>
        <w:t>13 straipsnio pake</w:t>
      </w:r>
      <w:r>
        <w:rPr>
          <w:b/>
          <w:szCs w:val="24"/>
        </w:rPr>
        <w:t>itimas</w:t>
      </w:r>
    </w:p>
    <w:p w14:paraId="7A4B657D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13 straipsnio 5 dalį ir ją išdėstyti taip:</w:t>
      </w:r>
    </w:p>
    <w:p w14:paraId="7A4B657E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  <w:shd w:val="clear" w:color="auto" w:fill="FFFFFF"/>
        </w:rPr>
        <w:t>5</w:t>
      </w:r>
      <w:r>
        <w:rPr>
          <w:color w:val="000000"/>
          <w:szCs w:val="24"/>
          <w:shd w:val="clear" w:color="auto" w:fill="FFFFFF"/>
        </w:rPr>
        <w:t>. Medicininio mirties liudijimo išdavimo tvarką nustato sveikatos apsaugos ministras.“</w:t>
      </w:r>
    </w:p>
    <w:p w14:paraId="7A4B657F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A4B6580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color w:val="000000"/>
          <w:szCs w:val="24"/>
        </w:rPr>
        <w:t>8</w:t>
      </w:r>
      <w:r>
        <w:rPr>
          <w:b/>
          <w:color w:val="000000"/>
          <w:szCs w:val="24"/>
        </w:rPr>
        <w:t xml:space="preserve"> straipsnis. </w:t>
      </w:r>
      <w:r>
        <w:rPr>
          <w:b/>
          <w:szCs w:val="24"/>
        </w:rPr>
        <w:t>14 straipsnio pakeitimas</w:t>
      </w:r>
    </w:p>
    <w:p w14:paraId="7A4B6581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14 straipsnio 5 dalį ir ją išdėstyti taip:</w:t>
      </w:r>
    </w:p>
    <w:p w14:paraId="7A4B6582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  <w:shd w:val="clear" w:color="auto" w:fill="FFFFFF"/>
        </w:rPr>
        <w:t>5</w:t>
      </w:r>
      <w:r>
        <w:rPr>
          <w:color w:val="000000"/>
          <w:szCs w:val="24"/>
          <w:shd w:val="clear" w:color="auto" w:fill="FFFFFF"/>
        </w:rPr>
        <w:t>. Medicininio mirties liudijimo formą nustato sveikatos apsaugos ministras.“</w:t>
      </w:r>
    </w:p>
    <w:p w14:paraId="7A4B6583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A4B6584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 xml:space="preserve"> straipsnis. </w:t>
      </w:r>
      <w:r>
        <w:rPr>
          <w:b/>
          <w:szCs w:val="24"/>
        </w:rPr>
        <w:t>15 straipsnio pakeitimas</w:t>
      </w:r>
    </w:p>
    <w:p w14:paraId="7A4B6585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15 straipsnio 1 dalį ir ją išdėstyti taip:</w:t>
      </w:r>
    </w:p>
    <w:p w14:paraId="7A4B6586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„</w:t>
      </w:r>
      <w:r>
        <w:rPr>
          <w:color w:val="000000"/>
          <w:szCs w:val="24"/>
          <w:shd w:val="clear" w:color="auto" w:fill="FFFFFF"/>
        </w:rPr>
        <w:t>1</w:t>
      </w:r>
      <w:r>
        <w:rPr>
          <w:color w:val="000000"/>
          <w:szCs w:val="24"/>
          <w:shd w:val="clear" w:color="auto" w:fill="FFFFFF"/>
        </w:rPr>
        <w:t xml:space="preserve">. Medicininį mirties liudijimą išduoda asmens sveikatos priežiūros </w:t>
      </w:r>
      <w:r>
        <w:rPr>
          <w:color w:val="000000"/>
          <w:szCs w:val="24"/>
          <w:shd w:val="clear" w:color="auto" w:fill="FFFFFF"/>
        </w:rPr>
        <w:t>įstaigos. Jis išduodamas asmenims, pateikusiems asmens dokumentus ir pasirašiusiems liudijimo dalį. Pasirašyta liudijimo dalis saugoma liudijimą išdavusioje įstaigoje sveikatos apsaugos ministro nustatyta tvarka.“</w:t>
      </w:r>
    </w:p>
    <w:p w14:paraId="7A4B6587" w14:textId="77777777" w:rsidR="00790DBB" w:rsidRDefault="00617AAC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A4B6588" w14:textId="77777777" w:rsidR="00790DBB" w:rsidRDefault="00617AA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color w:val="000000"/>
          <w:szCs w:val="24"/>
        </w:rPr>
        <w:t>10</w:t>
      </w:r>
      <w:r>
        <w:rPr>
          <w:b/>
          <w:color w:val="000000"/>
          <w:szCs w:val="24"/>
        </w:rPr>
        <w:t xml:space="preserve"> straipsnis. </w:t>
      </w:r>
      <w:r>
        <w:rPr>
          <w:b/>
          <w:szCs w:val="24"/>
        </w:rPr>
        <w:t>16 straipsnio pa</w:t>
      </w:r>
      <w:r>
        <w:rPr>
          <w:b/>
          <w:szCs w:val="24"/>
        </w:rPr>
        <w:t>keitimas</w:t>
      </w:r>
    </w:p>
    <w:p w14:paraId="7A4B6589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16 straipsnį ir jį išdėstyti taip:</w:t>
      </w:r>
    </w:p>
    <w:p w14:paraId="7A4B658A" w14:textId="77777777" w:rsidR="00790DBB" w:rsidRDefault="00617AA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„</w:t>
      </w:r>
      <w:r>
        <w:rPr>
          <w:b/>
          <w:bCs/>
          <w:color w:val="000000"/>
          <w:szCs w:val="24"/>
        </w:rPr>
        <w:t>16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Gydytojų konsiliumo sudarymas</w:t>
      </w:r>
    </w:p>
    <w:p w14:paraId="7A4B658B" w14:textId="77777777" w:rsidR="00790DBB" w:rsidRDefault="00617AA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Smegenų mirčiai nustatyti ir kitiems šiame Įstatyme numatytiems klausimams spręsti gydytojų konsiliumo sudarymo, sprendimų priėmimo ir įforminimo tvark</w:t>
      </w:r>
      <w:r>
        <w:rPr>
          <w:color w:val="000000"/>
          <w:szCs w:val="24"/>
        </w:rPr>
        <w:t xml:space="preserve">ą nustato </w:t>
      </w:r>
      <w:r>
        <w:rPr>
          <w:color w:val="000000"/>
          <w:szCs w:val="24"/>
          <w:shd w:val="clear" w:color="auto" w:fill="FFFFFF"/>
        </w:rPr>
        <w:t>sveikatos apsaugos ministras</w:t>
      </w:r>
      <w:r>
        <w:rPr>
          <w:color w:val="000000"/>
          <w:szCs w:val="24"/>
        </w:rPr>
        <w:t>.“</w:t>
      </w:r>
    </w:p>
    <w:p w14:paraId="7A4B658C" w14:textId="77777777" w:rsidR="00790DBB" w:rsidRDefault="00617AA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</w:rPr>
      </w:pPr>
    </w:p>
    <w:p w14:paraId="7A4B658D" w14:textId="77777777" w:rsidR="00790DBB" w:rsidRDefault="00617AAC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11</w:t>
      </w:r>
      <w:r>
        <w:rPr>
          <w:b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 xml:space="preserve">Įstatymo įsigaliojimas </w:t>
      </w:r>
      <w:r>
        <w:rPr>
          <w:b/>
          <w:szCs w:val="24"/>
        </w:rPr>
        <w:t>ir įgyvendinimas</w:t>
      </w:r>
    </w:p>
    <w:p w14:paraId="7A4B658E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zCs w:val="24"/>
          <w:shd w:val="clear" w:color="auto" w:fill="FFFFFF"/>
        </w:rPr>
        <w:t>Šis įstatymas, išskyrus šio straipsnio 2 dalį, įsigalioja 2016 m. sausio 1 d.</w:t>
      </w:r>
      <w:r>
        <w:rPr>
          <w:szCs w:val="24"/>
        </w:rPr>
        <w:t xml:space="preserve"> </w:t>
      </w:r>
    </w:p>
    <w:p w14:paraId="7A4B658F" w14:textId="77777777" w:rsidR="00790DBB" w:rsidRDefault="00617AA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shd w:val="clear" w:color="auto" w:fill="FFFFFF"/>
        </w:rPr>
        <w:t xml:space="preserve">Lietuvos Respublikos sveikatos apsaugos ministras iki šio įstatymo įsigaliojimo </w:t>
      </w:r>
      <w:r>
        <w:rPr>
          <w:szCs w:val="24"/>
        </w:rPr>
        <w:t>priima šio įstatymo įgyvendinamuosius teisės aktus.</w:t>
      </w:r>
    </w:p>
    <w:p w14:paraId="7A4B6590" w14:textId="77777777" w:rsidR="00790DBB" w:rsidRDefault="00617AAC">
      <w:pPr>
        <w:spacing w:line="360" w:lineRule="auto"/>
        <w:ind w:firstLine="720"/>
        <w:jc w:val="both"/>
      </w:pPr>
    </w:p>
    <w:bookmarkStart w:id="0" w:name="_GoBack" w:displacedByCustomXml="prev"/>
    <w:p w14:paraId="7A4B6591" w14:textId="77777777" w:rsidR="00790DBB" w:rsidRDefault="00617AA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A4B6592" w14:textId="77777777" w:rsidR="00790DBB" w:rsidRDefault="00790DBB">
      <w:pPr>
        <w:spacing w:line="360" w:lineRule="auto"/>
        <w:rPr>
          <w:i/>
          <w:szCs w:val="24"/>
        </w:rPr>
      </w:pPr>
    </w:p>
    <w:p w14:paraId="7A4B6593" w14:textId="77777777" w:rsidR="00790DBB" w:rsidRDefault="00790DBB">
      <w:pPr>
        <w:spacing w:line="360" w:lineRule="auto"/>
        <w:rPr>
          <w:i/>
          <w:szCs w:val="24"/>
        </w:rPr>
      </w:pPr>
    </w:p>
    <w:p w14:paraId="7A4B6594" w14:textId="77777777" w:rsidR="00790DBB" w:rsidRDefault="00790DBB">
      <w:pPr>
        <w:spacing w:line="360" w:lineRule="auto"/>
      </w:pPr>
    </w:p>
    <w:p w14:paraId="7A4B6595" w14:textId="77777777" w:rsidR="00790DBB" w:rsidRDefault="00617AA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790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659A" w14:textId="77777777" w:rsidR="00790DBB" w:rsidRDefault="00617AA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A4B659B" w14:textId="77777777" w:rsidR="00790DBB" w:rsidRDefault="00617AA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65A0" w14:textId="77777777" w:rsidR="00790DBB" w:rsidRDefault="00617AA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A4B65A1" w14:textId="77777777" w:rsidR="00790DBB" w:rsidRDefault="00790DB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65A2" w14:textId="77777777" w:rsidR="00790DBB" w:rsidRDefault="00790DB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65A4" w14:textId="77777777" w:rsidR="00790DBB" w:rsidRDefault="00790DB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6598" w14:textId="77777777" w:rsidR="00790DBB" w:rsidRDefault="00617AA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A4B6599" w14:textId="77777777" w:rsidR="00790DBB" w:rsidRDefault="00617AA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659C" w14:textId="77777777" w:rsidR="00790DBB" w:rsidRDefault="00617AA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A4B659D" w14:textId="77777777" w:rsidR="00790DBB" w:rsidRDefault="00790DB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659E" w14:textId="77777777" w:rsidR="00790DBB" w:rsidRDefault="00617AA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7A4B659F" w14:textId="77777777" w:rsidR="00790DBB" w:rsidRDefault="00790DB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65A3" w14:textId="77777777" w:rsidR="00790DBB" w:rsidRDefault="00790DB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E3"/>
    <w:rsid w:val="00617AAC"/>
    <w:rsid w:val="00790DBB"/>
    <w:rsid w:val="00C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B6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5135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2015-11-27T12:35:00Z</dcterms:created>
  <dc:creator>MANIUŠKIENĖ Violeta</dc:creator>
  <lastModifiedBy>GUMBYTĖ Danguolė</lastModifiedBy>
  <lastPrinted>2004-12-10T05:45:00Z</lastPrinted>
  <dcterms:modified xsi:type="dcterms:W3CDTF">2015-11-27T12:57:00Z</dcterms:modified>
  <revision>3</revision>
</coreProperties>
</file>