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BBE8" w14:textId="60E7953A" w:rsidR="004B14A7" w:rsidRDefault="0073729C" w:rsidP="0073729C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szCs w:val="24"/>
        </w:rPr>
        <w:object w:dxaOrig="811" w:dyaOrig="961" w14:anchorId="5573B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16098054" r:id="rId9"/>
        </w:object>
      </w:r>
    </w:p>
    <w:p w14:paraId="5573BBEA" w14:textId="77777777" w:rsidR="004B14A7" w:rsidRDefault="0073729C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5573BBEB" w14:textId="77777777" w:rsidR="004B14A7" w:rsidRDefault="004B14A7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5573BBEC" w14:textId="77777777" w:rsidR="004B14A7" w:rsidRDefault="0073729C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5573BBED" w14:textId="56BACFFA" w:rsidR="004B14A7" w:rsidRDefault="007372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LIETUVOS RESPUBLIKOS SVEIKATOS APSAUGOS MINISTRO 1999 M. LIEPOS 30 D. ĮSAKYMO NR. 357 „DĖL </w:t>
      </w:r>
      <w:r>
        <w:rPr>
          <w:b/>
          <w:szCs w:val="24"/>
          <w:lang w:eastAsia="lt-LT"/>
        </w:rPr>
        <w:t>MOKAMŲ ASMENS SVEIKATOS PRIEŽIŪROS PASLAUGŲ SĄRAŠO, KAINŲ NUSTATYMO IR JŲ INDEKSAVIMO TVARKOS BEI ŠIŲ PASLAUGŲ TEIKIMO IR APMOKĖJIMO TVARKOS</w:t>
      </w:r>
      <w:r>
        <w:rPr>
          <w:b/>
          <w:bCs/>
          <w:szCs w:val="24"/>
        </w:rPr>
        <w:t>“ PAKEITIMO</w:t>
      </w:r>
    </w:p>
    <w:p w14:paraId="5573BBEE" w14:textId="77777777" w:rsidR="004B14A7" w:rsidRDefault="004B14A7">
      <w:pPr>
        <w:jc w:val="center"/>
        <w:rPr>
          <w:szCs w:val="24"/>
        </w:rPr>
      </w:pPr>
    </w:p>
    <w:p w14:paraId="5573BBEF" w14:textId="77777777" w:rsidR="004B14A7" w:rsidRDefault="0073729C">
      <w:pPr>
        <w:jc w:val="center"/>
        <w:rPr>
          <w:szCs w:val="24"/>
        </w:rPr>
      </w:pPr>
      <w:r>
        <w:rPr>
          <w:szCs w:val="24"/>
        </w:rPr>
        <w:t xml:space="preserve">2014 m. rugsėjo 1 d. Nr. V-916  </w:t>
      </w:r>
    </w:p>
    <w:p w14:paraId="5573BBF0" w14:textId="77777777" w:rsidR="004B14A7" w:rsidRDefault="0073729C">
      <w:pPr>
        <w:jc w:val="center"/>
        <w:rPr>
          <w:szCs w:val="24"/>
        </w:rPr>
      </w:pPr>
      <w:r>
        <w:rPr>
          <w:szCs w:val="24"/>
        </w:rPr>
        <w:t>Vilnius</w:t>
      </w:r>
    </w:p>
    <w:p w14:paraId="5573BBF1" w14:textId="77777777" w:rsidR="004B14A7" w:rsidRDefault="004B14A7">
      <w:pPr>
        <w:jc w:val="center"/>
        <w:rPr>
          <w:szCs w:val="24"/>
        </w:rPr>
      </w:pPr>
    </w:p>
    <w:p w14:paraId="5573BBF2" w14:textId="77777777" w:rsidR="004B14A7" w:rsidRDefault="004B14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</w:p>
    <w:p w14:paraId="5573BBF3" w14:textId="77777777" w:rsidR="004B14A7" w:rsidRDefault="007372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>. P a k e i č i u</w:t>
      </w:r>
      <w:r>
        <w:rPr>
          <w:szCs w:val="24"/>
          <w:lang w:eastAsia="lt-LT"/>
        </w:rPr>
        <w:t xml:space="preserve"> </w:t>
      </w:r>
      <w:r>
        <w:rPr>
          <w:szCs w:val="24"/>
        </w:rPr>
        <w:t xml:space="preserve">Lietuvos Respublikos sveikatos apsaugos ministro 1999 m. liepos 30 d. įsakymą Nr. 357 „Dėl </w:t>
      </w:r>
      <w:r>
        <w:rPr>
          <w:szCs w:val="24"/>
          <w:lang w:eastAsia="lt-LT"/>
        </w:rPr>
        <w:t>mokamų asmens sveikatos priežiūros paslaugų sąrašo, kainų nustatymo ir jų indeksavimo tvarkos bei šių paslaugų teikimo ir apmokėjimo tvarkos</w:t>
      </w:r>
      <w:r>
        <w:rPr>
          <w:szCs w:val="24"/>
        </w:rPr>
        <w:t>“:</w:t>
      </w:r>
    </w:p>
    <w:p w14:paraId="5573BBF4" w14:textId="77777777" w:rsidR="004B14A7" w:rsidRDefault="007372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</w:t>
      </w:r>
      <w:r>
        <w:rPr>
          <w:szCs w:val="24"/>
        </w:rPr>
        <w:t xml:space="preserve"> pakeičiu nurody</w:t>
      </w:r>
      <w:r>
        <w:rPr>
          <w:szCs w:val="24"/>
        </w:rPr>
        <w:t>tuoju įsakymu patvirtintą</w:t>
      </w:r>
      <w:r>
        <w:rPr>
          <w:szCs w:val="24"/>
          <w:lang w:eastAsia="lt-LT"/>
        </w:rPr>
        <w:t xml:space="preserve"> Mokamų  asmens sveikatos priežiūros  paslaugų, teikiamų valstybės ir savivaldybių asmens sveikatos priežiūros įstaigose, sąrašą ir kainas (</w:t>
      </w:r>
      <w:r>
        <w:rPr>
          <w:szCs w:val="24"/>
        </w:rPr>
        <w:t>1 priedą) ir juos išdėstau nauja redakcija (pridedama);</w:t>
      </w:r>
    </w:p>
    <w:p w14:paraId="5573BBF5" w14:textId="77777777" w:rsidR="004B14A7" w:rsidRDefault="007372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lt-LT"/>
        </w:rPr>
      </w:pPr>
      <w:r>
        <w:rPr>
          <w:szCs w:val="24"/>
        </w:rPr>
        <w:t>1.2</w:t>
      </w:r>
      <w:r>
        <w:rPr>
          <w:szCs w:val="24"/>
        </w:rPr>
        <w:t>.</w:t>
      </w:r>
      <w:r>
        <w:rPr>
          <w:szCs w:val="24"/>
          <w:lang w:eastAsia="lt-LT"/>
        </w:rPr>
        <w:t xml:space="preserve"> p</w:t>
      </w:r>
      <w:r>
        <w:rPr>
          <w:szCs w:val="24"/>
        </w:rPr>
        <w:t>akeičiu nurodytuoju įsaky</w:t>
      </w:r>
      <w:r>
        <w:rPr>
          <w:szCs w:val="24"/>
        </w:rPr>
        <w:t>mu patvirtintą</w:t>
      </w:r>
      <w:r>
        <w:rPr>
          <w:szCs w:val="24"/>
          <w:lang w:eastAsia="lt-LT"/>
        </w:rPr>
        <w:t xml:space="preserve"> Mokamų asmens sveikatos priežiūros paslaugų kainų nustatymo ir jų indeksavimo tvarką ir priedą</w:t>
      </w:r>
      <w:r>
        <w:rPr>
          <w:szCs w:val="24"/>
        </w:rPr>
        <w:t xml:space="preserve"> išdėstau</w:t>
      </w:r>
      <w:r>
        <w:rPr>
          <w:szCs w:val="24"/>
          <w:lang w:eastAsia="lt-LT"/>
        </w:rPr>
        <w:t xml:space="preserve"> </w:t>
      </w:r>
      <w:r>
        <w:rPr>
          <w:szCs w:val="24"/>
        </w:rPr>
        <w:t>nauja redakcija</w:t>
      </w:r>
      <w:r>
        <w:rPr>
          <w:szCs w:val="24"/>
          <w:lang w:eastAsia="lt-LT"/>
        </w:rPr>
        <w:t xml:space="preserve"> (pridedama).</w:t>
      </w:r>
    </w:p>
    <w:p w14:paraId="5D8DB11D" w14:textId="1ADE8F4B" w:rsidR="004B14A7" w:rsidRDefault="0073729C" w:rsidP="007372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Cs w:val="24"/>
        </w:rPr>
        <w:t>2</w:t>
      </w:r>
      <w:r>
        <w:rPr>
          <w:szCs w:val="24"/>
        </w:rPr>
        <w:t>. N u s t a t a u, kad šis įsakymas įsigalioja 2015 m. sausio 1 d.</w:t>
      </w:r>
    </w:p>
    <w:p w14:paraId="7D9B2F6A" w14:textId="77777777" w:rsidR="0073729C" w:rsidRDefault="0073729C">
      <w:pPr>
        <w:tabs>
          <w:tab w:val="left" w:pos="7088"/>
        </w:tabs>
      </w:pPr>
    </w:p>
    <w:p w14:paraId="01C84155" w14:textId="77777777" w:rsidR="0073729C" w:rsidRDefault="0073729C">
      <w:pPr>
        <w:tabs>
          <w:tab w:val="left" w:pos="7088"/>
        </w:tabs>
      </w:pPr>
    </w:p>
    <w:p w14:paraId="7A7EFEBE" w14:textId="77777777" w:rsidR="0073729C" w:rsidRDefault="0073729C">
      <w:pPr>
        <w:tabs>
          <w:tab w:val="left" w:pos="7088"/>
        </w:tabs>
      </w:pPr>
    </w:p>
    <w:p w14:paraId="5573BC0C" w14:textId="74FFA6F3" w:rsidR="004B14A7" w:rsidRDefault="0073729C">
      <w:pPr>
        <w:tabs>
          <w:tab w:val="left" w:pos="7088"/>
        </w:tabs>
        <w:rPr>
          <w:szCs w:val="24"/>
        </w:rPr>
      </w:pPr>
      <w:r>
        <w:rPr>
          <w:szCs w:val="24"/>
        </w:rPr>
        <w:t xml:space="preserve">Sveikatos apsaugos ministrė </w:t>
      </w:r>
      <w:r>
        <w:rPr>
          <w:szCs w:val="24"/>
        </w:rPr>
        <w:tab/>
      </w:r>
      <w:r>
        <w:rPr>
          <w:szCs w:val="24"/>
        </w:rPr>
        <w:t xml:space="preserve">Rimantė </w:t>
      </w:r>
      <w:proofErr w:type="spellStart"/>
      <w:r>
        <w:rPr>
          <w:szCs w:val="24"/>
        </w:rPr>
        <w:t>Šalaševičiūtė</w:t>
      </w:r>
      <w:proofErr w:type="spellEnd"/>
    </w:p>
    <w:p w14:paraId="533DA257" w14:textId="1A5BA78E" w:rsidR="0073729C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4587"/>
      </w:pPr>
      <w:r>
        <w:br w:type="page"/>
      </w:r>
    </w:p>
    <w:p w14:paraId="5573BC0D" w14:textId="4369F736" w:rsidR="004B14A7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4587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14:paraId="5573BC0E" w14:textId="77777777" w:rsidR="004B14A7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4587"/>
        <w:rPr>
          <w:szCs w:val="24"/>
          <w:lang w:eastAsia="lt-LT"/>
        </w:rPr>
      </w:pPr>
      <w:r>
        <w:rPr>
          <w:szCs w:val="24"/>
          <w:lang w:eastAsia="lt-LT"/>
        </w:rPr>
        <w:t>Lietuvos Respublikos</w:t>
      </w:r>
    </w:p>
    <w:p w14:paraId="5573BC0F" w14:textId="77777777" w:rsidR="004B14A7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4587"/>
        <w:rPr>
          <w:szCs w:val="24"/>
          <w:lang w:eastAsia="lt-LT"/>
        </w:rPr>
      </w:pPr>
      <w:r>
        <w:rPr>
          <w:szCs w:val="24"/>
          <w:lang w:eastAsia="lt-LT"/>
        </w:rPr>
        <w:t>sveikatos apsaugos ministro</w:t>
      </w:r>
    </w:p>
    <w:p w14:paraId="5573BC10" w14:textId="77777777" w:rsidR="004B14A7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4587"/>
        <w:rPr>
          <w:szCs w:val="24"/>
          <w:lang w:eastAsia="lt-LT"/>
        </w:rPr>
      </w:pPr>
      <w:r>
        <w:rPr>
          <w:szCs w:val="24"/>
          <w:lang w:eastAsia="lt-LT"/>
        </w:rPr>
        <w:t>1999 m. liepos 30 d. įsakymu Nr.357</w:t>
      </w:r>
    </w:p>
    <w:p w14:paraId="5573BC11" w14:textId="58F9D979" w:rsidR="004B14A7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4569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priedas</w:t>
      </w:r>
    </w:p>
    <w:p w14:paraId="5573BC12" w14:textId="77777777" w:rsidR="004B14A7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4587"/>
        <w:rPr>
          <w:szCs w:val="24"/>
          <w:lang w:eastAsia="lt-LT"/>
        </w:rPr>
      </w:pPr>
      <w:r>
        <w:rPr>
          <w:szCs w:val="24"/>
          <w:lang w:eastAsia="lt-LT"/>
        </w:rPr>
        <w:t xml:space="preserve">(Lietuvos Respublikos </w:t>
      </w:r>
    </w:p>
    <w:p w14:paraId="5573BC13" w14:textId="77777777" w:rsidR="004B14A7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4587"/>
        <w:rPr>
          <w:szCs w:val="24"/>
          <w:lang w:eastAsia="lt-LT"/>
        </w:rPr>
      </w:pPr>
      <w:r>
        <w:rPr>
          <w:szCs w:val="24"/>
          <w:lang w:eastAsia="lt-LT"/>
        </w:rPr>
        <w:t>sveikatos apsaugos ministro</w:t>
      </w:r>
    </w:p>
    <w:p w14:paraId="1FD09B8D" w14:textId="77777777" w:rsidR="004B14A7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4587"/>
        <w:rPr>
          <w:szCs w:val="24"/>
          <w:lang w:eastAsia="lt-LT"/>
        </w:rPr>
      </w:pPr>
      <w:r>
        <w:rPr>
          <w:szCs w:val="24"/>
          <w:lang w:eastAsia="lt-LT"/>
        </w:rPr>
        <w:t xml:space="preserve">2014 m. rugsėjo 1 d.  įsakymo </w:t>
      </w:r>
    </w:p>
    <w:p w14:paraId="5573BC15" w14:textId="55083ED0" w:rsidR="004B14A7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4587"/>
        <w:rPr>
          <w:szCs w:val="24"/>
          <w:lang w:eastAsia="lt-LT"/>
        </w:rPr>
      </w:pPr>
      <w:r>
        <w:rPr>
          <w:szCs w:val="24"/>
          <w:lang w:eastAsia="lt-LT"/>
        </w:rPr>
        <w:t>Nr. V-916 redakcija)</w:t>
      </w:r>
    </w:p>
    <w:p w14:paraId="5573BC18" w14:textId="77777777" w:rsidR="004B14A7" w:rsidRDefault="004B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szCs w:val="24"/>
          <w:lang w:eastAsia="lt-LT"/>
        </w:rPr>
      </w:pPr>
    </w:p>
    <w:p w14:paraId="5573BC19" w14:textId="71A0A168" w:rsidR="004B14A7" w:rsidRDefault="007372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MOKAMŲ </w:t>
      </w:r>
      <w:r>
        <w:rPr>
          <w:b/>
          <w:szCs w:val="24"/>
          <w:lang w:eastAsia="lt-LT"/>
        </w:rPr>
        <w:t>ASMENS SVEIKATOS PRIEŽIŪROS PASLAUGŲ, TEIKIAMŲ VALSTYBĖS IR SAVIVALDYBIŲ ASMENS SVEIKATOS PRIEŽIŪROS ĮSTAIGOSE, SĄRAŠAS IR KAINOS</w:t>
      </w:r>
    </w:p>
    <w:p w14:paraId="5573BC1A" w14:textId="77777777" w:rsidR="004B14A7" w:rsidRDefault="004B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426"/>
        <w:rPr>
          <w:szCs w:val="24"/>
          <w:lang w:eastAsia="lt-LT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6096"/>
        <w:gridCol w:w="1100"/>
      </w:tblGrid>
      <w:tr w:rsidR="004B14A7" w14:paraId="5573BC21" w14:textId="77777777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73BC1B" w14:textId="77777777" w:rsidR="004B14A7" w:rsidRDefault="00737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13" w:hanging="5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73BC1C" w14:textId="77777777" w:rsidR="004B14A7" w:rsidRDefault="00737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Kodas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573BC1D" w14:textId="77777777" w:rsidR="004B14A7" w:rsidRDefault="00737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Paslaugos pavadinimas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5573BC1E" w14:textId="77777777" w:rsidR="004B14A7" w:rsidRDefault="0073729C">
            <w:pPr>
              <w:tabs>
                <w:tab w:val="left" w:pos="91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Kaina</w:t>
            </w:r>
          </w:p>
          <w:p w14:paraId="5573BC1F" w14:textId="77777777" w:rsidR="004B14A7" w:rsidRDefault="004B14A7">
            <w:pPr>
              <w:rPr>
                <w:sz w:val="16"/>
                <w:szCs w:val="16"/>
              </w:rPr>
            </w:pPr>
          </w:p>
          <w:p w14:paraId="5573BC20" w14:textId="77777777" w:rsidR="004B14A7" w:rsidRDefault="00737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eurais</w:t>
            </w:r>
          </w:p>
        </w:tc>
      </w:tr>
      <w:tr w:rsidR="004B14A7" w14:paraId="5573BC26" w14:textId="77777777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2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23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BC2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Nėštumo</w:t>
            </w:r>
            <w:r>
              <w:rPr>
                <w:color w:val="000000"/>
                <w:szCs w:val="24"/>
                <w:lang w:eastAsia="lt-LT"/>
              </w:rPr>
              <w:t xml:space="preserve"> diagnozavimas ir nutraukimas</w:t>
            </w:r>
            <w:r>
              <w:rPr>
                <w:color w:val="000000"/>
                <w:szCs w:val="24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BC25" w14:textId="77777777" w:rsidR="004B14A7" w:rsidRDefault="004B14A7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</w:tr>
      <w:tr w:rsidR="004B14A7" w14:paraId="5573BC2B" w14:textId="77777777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2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2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2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nėštumo nutraukimas taikant vietinę nejautrą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2A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39,10</w:t>
            </w:r>
          </w:p>
        </w:tc>
      </w:tr>
      <w:tr w:rsidR="004B14A7" w14:paraId="5573BC30" w14:textId="777777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2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2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BC2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nėštumo nutraukimas taikant visišką nejautrą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BC2F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61,11</w:t>
            </w:r>
          </w:p>
        </w:tc>
      </w:tr>
      <w:tr w:rsidR="004B14A7" w14:paraId="5573BC35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3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3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3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ankstyvas nėštumo diagnozavimas šlapimo tyrimu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34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3,34</w:t>
            </w:r>
          </w:p>
        </w:tc>
      </w:tr>
      <w:tr w:rsidR="004B14A7" w14:paraId="5573BC3A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3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3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3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vienas hormoninis tyrimas (vidutinė kaina)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39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7,24</w:t>
            </w:r>
          </w:p>
        </w:tc>
      </w:tr>
      <w:tr w:rsidR="004B14A7" w14:paraId="5573BC3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3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3C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3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Akupunktūra ir manualinė terapija: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3E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C4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4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4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4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aurikuliarinė diagnostika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43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1,00</w:t>
            </w:r>
          </w:p>
        </w:tc>
      </w:tr>
      <w:tr w:rsidR="004B14A7" w14:paraId="5573BC4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4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4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4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korporalinė akupunktūros procedūra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48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2,00</w:t>
            </w:r>
          </w:p>
        </w:tc>
      </w:tr>
      <w:tr w:rsidR="004B14A7" w14:paraId="5573BC4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4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4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4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taškų šildymo procedūra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4D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2,67</w:t>
            </w:r>
          </w:p>
        </w:tc>
      </w:tr>
      <w:tr w:rsidR="004B14A7" w14:paraId="5573BC5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4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5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BC5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mikrosistemos akupunktūros procedūra (aurikuliarinė, skalpinė terapija)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52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</w:t>
            </w:r>
            <w:r>
              <w:rPr>
                <w:color w:val="000000"/>
                <w:szCs w:val="24"/>
                <w:lang w:eastAsia="lt-LT"/>
              </w:rPr>
              <w:t>00</w:t>
            </w:r>
          </w:p>
        </w:tc>
      </w:tr>
      <w:tr w:rsidR="004B14A7" w14:paraId="5573BC5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5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5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5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kraniofacialinė regionarinė akupunktūra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5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2,00</w:t>
            </w:r>
          </w:p>
        </w:tc>
      </w:tr>
      <w:tr w:rsidR="004B14A7" w14:paraId="5573BC5D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5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5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5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intramedianinė akupunktūra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5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2,00</w:t>
            </w:r>
          </w:p>
        </w:tc>
      </w:tr>
      <w:tr w:rsidR="004B14A7" w14:paraId="5573BC6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5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5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6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prolonguota akupunktūra (mikroakupunktūra ir aplikacijų akupunktūra)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61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1,67</w:t>
            </w:r>
          </w:p>
        </w:tc>
      </w:tr>
      <w:tr w:rsidR="004B14A7" w14:paraId="5573BC6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6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6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60013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6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lazerinė punktūra, termopunktūra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66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2,34</w:t>
            </w:r>
          </w:p>
        </w:tc>
      </w:tr>
      <w:tr w:rsidR="004B14A7" w14:paraId="5573BC6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6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6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6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elektroakupunktūra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6B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1,67</w:t>
            </w:r>
          </w:p>
        </w:tc>
      </w:tr>
      <w:tr w:rsidR="004B14A7" w14:paraId="5573BC7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6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6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6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magnetinė punktūra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70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2,00</w:t>
            </w:r>
          </w:p>
        </w:tc>
      </w:tr>
      <w:tr w:rsidR="004B14A7" w14:paraId="5573BC76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7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7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7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magnetinė lazerinė punktūra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75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2,67</w:t>
            </w:r>
          </w:p>
        </w:tc>
      </w:tr>
      <w:tr w:rsidR="004B14A7" w14:paraId="5573BC7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7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7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7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farmakologinė punktūra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7A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2,67</w:t>
            </w:r>
          </w:p>
        </w:tc>
      </w:tr>
      <w:tr w:rsidR="004B14A7" w14:paraId="5573BC8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7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7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7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regioninis akupunktūros taškų masažas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7F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2,00</w:t>
            </w:r>
          </w:p>
        </w:tc>
      </w:tr>
      <w:tr w:rsidR="004B14A7" w14:paraId="5573BC85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8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8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8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bendras akupunktūros taškų masažas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84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3,34</w:t>
            </w:r>
          </w:p>
        </w:tc>
      </w:tr>
      <w:tr w:rsidR="004B14A7" w14:paraId="5573BC8A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8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8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8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manualinė diagnostika (kaina taikoma </w:t>
            </w:r>
            <w:r>
              <w:rPr>
                <w:color w:val="000000"/>
                <w:szCs w:val="24"/>
                <w:lang w:eastAsia="lt-LT"/>
              </w:rPr>
              <w:t>visiems metodams)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89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2,34</w:t>
            </w:r>
          </w:p>
        </w:tc>
      </w:tr>
      <w:tr w:rsidR="004B14A7" w14:paraId="5573BC8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8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8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8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lokali manualinė terapija (kaina taikoma visiems metodams)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8E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3,34</w:t>
            </w:r>
          </w:p>
        </w:tc>
      </w:tr>
      <w:tr w:rsidR="004B14A7" w14:paraId="5573BC9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9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9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9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bendra manualinė terapija (kaina taikoma visiems metodams)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93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5,34</w:t>
            </w:r>
          </w:p>
        </w:tc>
      </w:tr>
      <w:tr w:rsidR="004B14A7" w14:paraId="5573BC9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9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96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9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Profilaktinis sveikatos tikrinimas (į sveikatos tikrinimo paslaugų kainas įskaitytos visos </w:t>
            </w:r>
            <w:r>
              <w:rPr>
                <w:szCs w:val="24"/>
                <w:lang w:eastAsia="lt-LT"/>
              </w:rPr>
              <w:t xml:space="preserve">Lietuvos Respublikos </w:t>
            </w:r>
            <w:r>
              <w:rPr>
                <w:color w:val="000000"/>
                <w:szCs w:val="24"/>
                <w:lang w:eastAsia="lt-LT"/>
              </w:rPr>
              <w:lastRenderedPageBreak/>
              <w:t>sveikatos apsaugos ministro 2000 m. gegužės 31 d. įsakyme Nr. 301 „Dėl Profilaktinių sveikatos tikrinimų sveikatos priežiūros įstaigose“ numatyt</w:t>
            </w:r>
            <w:r>
              <w:rPr>
                <w:color w:val="000000"/>
                <w:szCs w:val="24"/>
                <w:lang w:eastAsia="lt-LT"/>
              </w:rPr>
              <w:t>os pirminės sveikatos priežiūros gydytojų ir gydytojų specialistų vieno paciento sveikatos tikrinimo išlaidos):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98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C9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9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9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9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vykstančiųjų į užsienį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9D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7,24</w:t>
            </w:r>
          </w:p>
        </w:tc>
      </w:tr>
      <w:tr w:rsidR="004B14A7" w14:paraId="5573BCA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9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A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A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norinčiųjų įsigyti civilinį ginklą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A2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11,58</w:t>
            </w:r>
          </w:p>
        </w:tc>
      </w:tr>
      <w:tr w:rsidR="004B14A7" w14:paraId="5573BCA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A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A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A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vairuotojų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A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10,14</w:t>
            </w:r>
          </w:p>
        </w:tc>
      </w:tr>
      <w:tr w:rsidR="004B14A7" w14:paraId="5573BCAD" w14:textId="77777777">
        <w:trPr>
          <w:trHeight w:val="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A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A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A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 xml:space="preserve">licencijuojamų civilinės aviacijos specialistų </w:t>
            </w:r>
            <w:r>
              <w:rPr>
                <w:color w:val="000000"/>
                <w:szCs w:val="24"/>
                <w:lang w:eastAsia="lt-LT"/>
              </w:rPr>
              <w:t xml:space="preserve">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A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14,48</w:t>
            </w:r>
          </w:p>
        </w:tc>
      </w:tr>
      <w:tr w:rsidR="004B14A7" w14:paraId="5573BCB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A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AF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B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Papildoma individuali ligonio priežiūra ir slauga gimdymo skyriuje (visą gimdymo laikotarpį), kai </w:t>
            </w:r>
            <w:r>
              <w:rPr>
                <w:color w:val="000000"/>
                <w:szCs w:val="24"/>
                <w:lang w:eastAsia="lt-LT"/>
              </w:rPr>
              <w:t>pacientė pati renkasi gydytoją ir akušerį: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B1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CB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B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B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B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gydytojo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B6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133,48</w:t>
            </w:r>
          </w:p>
        </w:tc>
      </w:tr>
      <w:tr w:rsidR="004B14A7" w14:paraId="5573BCB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B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B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B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akušerio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BB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66,74</w:t>
            </w:r>
          </w:p>
        </w:tc>
      </w:tr>
      <w:tr w:rsidR="004B14A7" w14:paraId="5573BCC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B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BE" w14:textId="77777777" w:rsidR="004B14A7" w:rsidRDefault="004B14A7">
            <w:pPr>
              <w:tabs>
                <w:tab w:val="left" w:pos="916"/>
              </w:tabs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B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Anoniminis piktnaudžiaujančiųjų alkoholiu, narkotikais ir kitomis </w:t>
            </w:r>
            <w:r>
              <w:rPr>
                <w:color w:val="000000"/>
                <w:szCs w:val="24"/>
                <w:lang w:eastAsia="lt-LT"/>
              </w:rPr>
              <w:t>nuodingosiomis medžiagomis gydymas ir asmens girtumo, apsvaigimo laipsnio nustatymas: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C0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CC6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C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C3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C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Psichoterapija: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C5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CC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C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C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C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„Minesotos“ programa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CA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173,52</w:t>
            </w:r>
          </w:p>
        </w:tc>
      </w:tr>
      <w:tr w:rsidR="004B14A7" w14:paraId="5573BCD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C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C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C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„Esperalio“ ir kitų ilgai veikiančių vaistų implantavimas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CF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68,08</w:t>
            </w:r>
          </w:p>
        </w:tc>
      </w:tr>
      <w:tr w:rsidR="004B14A7" w14:paraId="5573BCD5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D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D2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D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Terapija ilgai veikiančiais vaistais „Torpedo“: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D4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CDA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D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D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D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iki 6 mėn.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D9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16,35</w:t>
            </w:r>
          </w:p>
        </w:tc>
      </w:tr>
      <w:tr w:rsidR="004B14A7" w14:paraId="5573BCD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D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D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D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iki 12 mėn.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DE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26,36</w:t>
            </w:r>
          </w:p>
        </w:tc>
      </w:tr>
      <w:tr w:rsidR="004B14A7" w14:paraId="5573BCE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E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E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E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iki 2 metų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E3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39,38</w:t>
            </w:r>
          </w:p>
        </w:tc>
      </w:tr>
      <w:tr w:rsidR="004B14A7" w14:paraId="5573BCE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E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E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E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iki 3 metų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E8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50,06</w:t>
            </w:r>
          </w:p>
        </w:tc>
      </w:tr>
      <w:tr w:rsidR="004B14A7" w14:paraId="5573BCE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EA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E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E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antialkoholio terapija sensibilizuojamaisiais vaistais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ED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27,36</w:t>
            </w:r>
          </w:p>
        </w:tc>
      </w:tr>
      <w:tr w:rsidR="004B14A7" w14:paraId="5573BCF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EF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F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F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abstinencijos sindromo vėlyvojo periodo simptomų gydymas ir potraukio slopinimas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F2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43,38</w:t>
            </w:r>
          </w:p>
        </w:tc>
      </w:tr>
      <w:tr w:rsidR="004B14A7" w14:paraId="5573BCF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F4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F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F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hipnoterapijos seansas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F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4,34</w:t>
            </w:r>
          </w:p>
        </w:tc>
      </w:tr>
      <w:tr w:rsidR="004B14A7" w14:paraId="5573BCFD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F9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F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F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individuali autogeninė treniruotė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CF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8,34</w:t>
            </w:r>
          </w:p>
        </w:tc>
      </w:tr>
      <w:tr w:rsidR="004B14A7" w14:paraId="5573BD0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FE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F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0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blaivybės motyvacijos įtvirtinimas pagal  „Dvylikos žingsnių“ programą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01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81,42</w:t>
            </w:r>
          </w:p>
        </w:tc>
      </w:tr>
      <w:tr w:rsidR="004B14A7" w14:paraId="5573BD0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03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0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0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kiti anoniminio gydymo metodai ir priemonės (nustatant kainą prilyginami išvardytiems)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06" w14:textId="77777777" w:rsidR="004B14A7" w:rsidRDefault="0073729C">
            <w:pPr>
              <w:tabs>
                <w:tab w:val="left" w:pos="916"/>
              </w:tabs>
              <w:spacing w:line="276" w:lineRule="auto"/>
              <w:ind w:left="720" w:hanging="360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- </w:t>
            </w:r>
          </w:p>
        </w:tc>
      </w:tr>
      <w:tr w:rsidR="004B14A7" w14:paraId="5573BD0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08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5.9.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0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0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asmens girtumo, apsvaigimo laipsnio nustatymas atliekant laboratorinį kraujo ištyrimą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0B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7,24</w:t>
            </w:r>
          </w:p>
        </w:tc>
      </w:tr>
      <w:tr w:rsidR="004B14A7" w14:paraId="5573BD1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0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0E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0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Kosmetinės chirurgijos operacijos: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10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D16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12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1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1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raukšlių ir odos pertekliaus pašalinimas išoriniuose vokų kampuose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15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30,37</w:t>
            </w:r>
          </w:p>
        </w:tc>
      </w:tr>
      <w:tr w:rsidR="004B14A7" w14:paraId="5573BD1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17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1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1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raukšlių ir odos pertekliaus pašalinimas smilkinių srityje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1A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41,38</w:t>
            </w:r>
          </w:p>
        </w:tc>
      </w:tr>
      <w:tr w:rsidR="004B14A7" w14:paraId="5573BD2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1C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1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1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raukšlių ir odos pertekliaus pašalinimas skruostų srityje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1F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90,10</w:t>
            </w:r>
          </w:p>
        </w:tc>
      </w:tr>
      <w:tr w:rsidR="004B14A7" w14:paraId="5573BD25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21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2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2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raukšlių ir odos pertekliaus pašalinimas kaklo srityje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24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122,14</w:t>
            </w:r>
          </w:p>
        </w:tc>
      </w:tr>
      <w:tr w:rsidR="004B14A7" w14:paraId="5573BD2A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26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6.5.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2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2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viršutinių vokų raukšlių ir odos pertekliaus pašalinimas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29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30,37</w:t>
            </w:r>
          </w:p>
        </w:tc>
      </w:tr>
      <w:tr w:rsidR="004B14A7" w14:paraId="5573BD2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2B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2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2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apatinių vokų raukšlių ir odos pertekliaus pašalinimas su riebalinėmis išvaržomis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2E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41,38</w:t>
            </w:r>
          </w:p>
        </w:tc>
      </w:tr>
      <w:tr w:rsidR="004B14A7" w14:paraId="5573BD3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30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3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3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momentinis viršutinių ir apatinių vokų raukšlių ir odos pertekliaus pašalinimas su riebalinių išvaržų rezekcija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33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52,06</w:t>
            </w:r>
          </w:p>
        </w:tc>
      </w:tr>
      <w:tr w:rsidR="004B14A7" w14:paraId="5573BD3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35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3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3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nusvirusių antakių korekcija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38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52,06</w:t>
            </w:r>
          </w:p>
        </w:tc>
      </w:tr>
      <w:tr w:rsidR="004B14A7" w14:paraId="5573BD3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3A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3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3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randų ir tatuiruočių pašalinimas, naudojant v</w:t>
            </w:r>
            <w:r>
              <w:rPr>
                <w:color w:val="000000"/>
                <w:szCs w:val="24"/>
                <w:lang w:eastAsia="lt-LT"/>
              </w:rPr>
              <w:t>ietinių audinių plastiką ir laisvą odos skiautę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3D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30,37</w:t>
            </w:r>
          </w:p>
        </w:tc>
      </w:tr>
      <w:tr w:rsidR="004B14A7" w14:paraId="5573BD4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3F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4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4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hipertrofinių randų pašalinimas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42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41,38</w:t>
            </w:r>
          </w:p>
        </w:tc>
      </w:tr>
      <w:tr w:rsidR="004B14A7" w14:paraId="5573BD4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44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4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4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hipertrofinių, keloidinių randų ekscizija (iki 3 cm)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4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34,75</w:t>
            </w:r>
          </w:p>
        </w:tc>
      </w:tr>
      <w:tr w:rsidR="004B14A7" w14:paraId="5573BD4D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49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4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4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hipertrofinių, keloidinių randų ekscizija (daugiau kaip 3 cm)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4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40,55</w:t>
            </w:r>
          </w:p>
        </w:tc>
      </w:tr>
      <w:tr w:rsidR="004B14A7" w14:paraId="5573BD5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4E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4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5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hipertrofinių, keloidinių veido arba kaklo randų ekscizija  (iki 3 cm)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51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43,44</w:t>
            </w:r>
          </w:p>
        </w:tc>
      </w:tr>
      <w:tr w:rsidR="004B14A7" w14:paraId="5573BD5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53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5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5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hipertrofinių, keloidinių veido arba kaklo randų ekscizija (daugiau kaip 3 cm)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56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47,79</w:t>
            </w:r>
          </w:p>
        </w:tc>
      </w:tr>
      <w:tr w:rsidR="004B14A7" w14:paraId="5573BD5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58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5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5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nusvirusios nosies pertvarėlės korekcija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5B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30,37</w:t>
            </w:r>
          </w:p>
        </w:tc>
      </w:tr>
      <w:tr w:rsidR="004B14A7" w14:paraId="5573BD6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5D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5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5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pakartotinė korekcija po įgimtos nosies bei viršutinės lūpos deformacijos operacijų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60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73,41</w:t>
            </w:r>
          </w:p>
        </w:tc>
      </w:tr>
      <w:tr w:rsidR="004B14A7" w14:paraId="5573BD66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62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6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6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potrauminių arba įgimtų nosies deformacijų (kuprotos nosies) korekcija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65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145,49</w:t>
            </w:r>
          </w:p>
        </w:tc>
      </w:tr>
      <w:tr w:rsidR="004B14A7" w14:paraId="5573BD6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67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6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6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viršutinės lūpos gleivinės (dvigubos lūpos) pertekliaus p</w:t>
            </w:r>
            <w:r>
              <w:rPr>
                <w:color w:val="000000"/>
                <w:szCs w:val="24"/>
                <w:lang w:eastAsia="lt-LT"/>
              </w:rPr>
              <w:t xml:space="preserve">ašalinimas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6A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41,38</w:t>
            </w:r>
          </w:p>
        </w:tc>
      </w:tr>
      <w:tr w:rsidR="004B14A7" w14:paraId="5573BD7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6C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6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6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odos ir poodžio pertekliaus smakro srityje (dvigubo smakro) pašalinimas be odos patempimo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6F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74,08</w:t>
            </w:r>
          </w:p>
        </w:tc>
      </w:tr>
      <w:tr w:rsidR="004B14A7" w14:paraId="5573BD75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71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7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7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ausų deformacijos (atlėpusių ausų) korekcija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74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52,06</w:t>
            </w:r>
          </w:p>
        </w:tc>
      </w:tr>
      <w:tr w:rsidR="004B14A7" w14:paraId="5573BD7A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76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7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7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krūtų spenelių deformacijos korekcija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79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90,10</w:t>
            </w:r>
          </w:p>
        </w:tc>
      </w:tr>
      <w:tr w:rsidR="004B14A7" w14:paraId="5573BD7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7B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7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7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nusileidusių ir hipertrofinių krūtų korekcija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7E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168,52</w:t>
            </w:r>
          </w:p>
        </w:tc>
      </w:tr>
      <w:tr w:rsidR="004B14A7" w14:paraId="5573BD8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80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8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8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krūtų korekcija, naudojant endoimplantatus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83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168,52</w:t>
            </w:r>
          </w:p>
        </w:tc>
      </w:tr>
      <w:tr w:rsidR="004B14A7" w14:paraId="5573BD8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85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8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8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deformuotos priekinės pilvo sienelės („prijuostės“) korekcija, pašalinant riebalų perteklių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88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168,52</w:t>
            </w:r>
          </w:p>
        </w:tc>
      </w:tr>
      <w:tr w:rsidR="004B14A7" w14:paraId="5573BD8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8A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6.25.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8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8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kitos kosmetinės chirurgijos operacijos (nustatant kainą prilyginamos išvardytoms)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8D" w14:textId="77777777" w:rsidR="004B14A7" w:rsidRDefault="0073729C">
            <w:pPr>
              <w:tabs>
                <w:tab w:val="left" w:pos="916"/>
              </w:tabs>
              <w:spacing w:line="276" w:lineRule="auto"/>
              <w:ind w:left="720" w:hanging="360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-  </w:t>
            </w:r>
          </w:p>
        </w:tc>
      </w:tr>
      <w:tr w:rsidR="004B14A7" w14:paraId="5573BD9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8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90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9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Dermatologo kosmetinės procedūros: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92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D9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94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9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9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karpos, žvaigždinės hemangiomos pašalinimas skystuoju azotu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9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2,34</w:t>
            </w:r>
          </w:p>
        </w:tc>
      </w:tr>
      <w:tr w:rsidR="004B14A7" w14:paraId="5573BD9D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99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9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9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užkrečiamojo moliusko pašalinimas skystuoju azotu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9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0,67</w:t>
            </w:r>
          </w:p>
        </w:tc>
      </w:tr>
      <w:tr w:rsidR="004B14A7" w14:paraId="5573BDA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9E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9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A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lygios odos masažas skystuoju azotu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A1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1,67</w:t>
            </w:r>
          </w:p>
        </w:tc>
      </w:tr>
      <w:tr w:rsidR="004B14A7" w14:paraId="5573BDA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A3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A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A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plaukuotosios galvos dalies odos masažas skystuoju azotu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A6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3,00</w:t>
            </w:r>
          </w:p>
        </w:tc>
      </w:tr>
      <w:tr w:rsidR="004B14A7" w14:paraId="5573BDA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A8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7.5.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A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A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išsiplėtusių kapiliarų elektrokoaguliacija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AB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7,67</w:t>
            </w:r>
          </w:p>
        </w:tc>
      </w:tr>
      <w:tr w:rsidR="004B14A7" w14:paraId="5573BDB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AD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7.6.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A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A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papilomos pašalinimas elektrokoaguliacija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B0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3,00</w:t>
            </w:r>
          </w:p>
        </w:tc>
      </w:tr>
      <w:tr w:rsidR="004B14A7" w14:paraId="5573BDB6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B2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7.7.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B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B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riebalinės liaukos cistos pašalinimas elektrokoaguliacija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B5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1,67</w:t>
            </w:r>
          </w:p>
        </w:tc>
      </w:tr>
      <w:tr w:rsidR="004B14A7" w14:paraId="5573BDB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B7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7.8.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B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60096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B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ateromos iki 0,5 cm pašalinimas elektrokoaguliacija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BA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7,67</w:t>
            </w:r>
          </w:p>
        </w:tc>
      </w:tr>
      <w:tr w:rsidR="004B14A7" w14:paraId="5573BDC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BC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7.9.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B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B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kitos kosmetinės procedūros (nustatant kainą prilyginamos išvardytoms)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BF" w14:textId="77777777" w:rsidR="004B14A7" w:rsidRDefault="0073729C">
            <w:pPr>
              <w:tabs>
                <w:tab w:val="left" w:pos="916"/>
              </w:tabs>
              <w:spacing w:line="276" w:lineRule="auto"/>
              <w:ind w:left="720" w:hanging="360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- </w:t>
            </w:r>
          </w:p>
        </w:tc>
      </w:tr>
      <w:tr w:rsidR="004B14A7" w14:paraId="5573BDC5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C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C2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C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Kosmetologijos procedūros (1 procedūra):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C4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DCA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C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C7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C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masažai: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C9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DC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CB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C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C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veido ir kaklo masažas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CE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2,34</w:t>
            </w:r>
          </w:p>
        </w:tc>
      </w:tr>
      <w:tr w:rsidR="004B14A7" w14:paraId="5573BDD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D0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8.1.2.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D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D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masažas pagal Žaką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D3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2,00</w:t>
            </w:r>
          </w:p>
        </w:tc>
      </w:tr>
      <w:tr w:rsidR="004B14A7" w14:paraId="5573BDD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D5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8.1.3.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D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D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galvos kriomasažas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D8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1,67</w:t>
            </w:r>
          </w:p>
        </w:tc>
      </w:tr>
      <w:tr w:rsidR="004B14A7" w14:paraId="5573BDD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DA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D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D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veido kriomasažas (galvanizacija)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DD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1,00</w:t>
            </w:r>
          </w:p>
        </w:tc>
      </w:tr>
      <w:tr w:rsidR="004B14A7" w14:paraId="5573BDE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D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E0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E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gydymo procedūros: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E2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DE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E4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8.2.1.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E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E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plaukų gydymas su D 'Arsonvaliu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E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1,67</w:t>
            </w:r>
          </w:p>
        </w:tc>
      </w:tr>
      <w:tr w:rsidR="004B14A7" w14:paraId="5573BDED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E9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E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E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plaukų gydymas be D 'Arsonvalio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E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1,67</w:t>
            </w:r>
          </w:p>
        </w:tc>
      </w:tr>
      <w:tr w:rsidR="004B14A7" w14:paraId="5573BDF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EE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8.2.3.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E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F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kvarcas 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F1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1,00</w:t>
            </w:r>
          </w:p>
        </w:tc>
      </w:tr>
      <w:tr w:rsidR="004B14A7" w14:paraId="5573BDF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F3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8.2.4.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F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F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krioterapija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F6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0,67</w:t>
            </w:r>
          </w:p>
        </w:tc>
      </w:tr>
      <w:tr w:rsidR="004B14A7" w14:paraId="5573BDF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F8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8.2.5.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F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F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kitos priemonės  (nustatant kainą prilyginamos išvardytoms)            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FB" w14:textId="77777777" w:rsidR="004B14A7" w:rsidRDefault="0073729C">
            <w:pPr>
              <w:tabs>
                <w:tab w:val="left" w:pos="916"/>
              </w:tabs>
              <w:spacing w:line="276" w:lineRule="auto"/>
              <w:ind w:firstLine="568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4B14A7" w14:paraId="5573BE0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F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DFE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DF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kaukės: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00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E06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0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8.3.1.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0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0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sausinamoji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05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1,00</w:t>
            </w:r>
          </w:p>
        </w:tc>
      </w:tr>
      <w:tr w:rsidR="004B14A7" w14:paraId="5573BE0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07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0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0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minkštinamoji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0A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1,00</w:t>
            </w:r>
          </w:p>
        </w:tc>
      </w:tr>
      <w:tr w:rsidR="004B14A7" w14:paraId="5573BE1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0C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8.3.3.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0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0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maitinamoji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0F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1,00</w:t>
            </w:r>
          </w:p>
        </w:tc>
      </w:tr>
      <w:tr w:rsidR="004B14A7" w14:paraId="5573BE15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11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8.3.4.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1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1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kombinuota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14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1,00</w:t>
            </w:r>
          </w:p>
        </w:tc>
      </w:tr>
      <w:tr w:rsidR="004B14A7" w14:paraId="5573BE1A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1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17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1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Dantų protezavimo paslaugų kainos (be metalų,   plastmasių-kompozitų, cemento, dirbtinių dantų, gamyklinių fiksavimo elementų išlaidų):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19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E1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1B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1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1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pirminė apžiūra, anamnezė, dokumentacija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1E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2,35</w:t>
            </w:r>
          </w:p>
        </w:tc>
      </w:tr>
      <w:tr w:rsidR="004B14A7" w14:paraId="5573BE2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20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21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2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Laikinieji (imediat) protezai: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23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E2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25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9.2.1.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2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2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plastmasinis įtvaras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28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11,99</w:t>
            </w:r>
          </w:p>
        </w:tc>
      </w:tr>
      <w:tr w:rsidR="004B14A7" w14:paraId="5573BE2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2A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2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2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1–5 dantų plokštelinis protezas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2D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9,12</w:t>
            </w:r>
          </w:p>
        </w:tc>
      </w:tr>
      <w:tr w:rsidR="004B14A7" w14:paraId="5573BE3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2F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9.2.3.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3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3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daugiau kaip 5 dantų plokštelinis protezas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32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11,99</w:t>
            </w:r>
          </w:p>
        </w:tc>
      </w:tr>
      <w:tr w:rsidR="004B14A7" w14:paraId="5573BE3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34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9.2.4.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3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3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boksininko įtvaras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3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24,76</w:t>
            </w:r>
          </w:p>
        </w:tc>
      </w:tr>
      <w:tr w:rsidR="004B14A7" w14:paraId="5573BE3D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39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9.2.5.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3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3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laikinas plastmasinis vainikėlis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3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6,00</w:t>
            </w:r>
          </w:p>
        </w:tc>
      </w:tr>
      <w:tr w:rsidR="004B14A7" w14:paraId="5573BE4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3E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3F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4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Nuimami protezai (plokštelės):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41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E4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43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4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4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dalinis plokštelinis protezas-bazė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46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14,60</w:t>
            </w:r>
          </w:p>
        </w:tc>
      </w:tr>
      <w:tr w:rsidR="004B14A7" w14:paraId="5573BE4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48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4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4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pilnas plokštelinis protezas-bazė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4B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2,03</w:t>
            </w:r>
          </w:p>
        </w:tc>
      </w:tr>
      <w:tr w:rsidR="004B14A7" w14:paraId="5573BE5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4D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9.3.3.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4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4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pilnas plokštelinis protezas individualiame artikuliatoriuje-bazėje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50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49,53</w:t>
            </w:r>
          </w:p>
        </w:tc>
      </w:tr>
      <w:tr w:rsidR="004B14A7" w14:paraId="5573BE56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52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9.3.4.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5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5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 danties įstatymas į plokštelinį protezą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55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0,91</w:t>
            </w:r>
          </w:p>
        </w:tc>
      </w:tr>
      <w:tr w:rsidR="004B14A7" w14:paraId="5573BE5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57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9.3.5.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5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5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individualus šaukštas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5A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1,56</w:t>
            </w:r>
          </w:p>
        </w:tc>
      </w:tr>
      <w:tr w:rsidR="004B14A7" w14:paraId="5573BE6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5C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9.3.6.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5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5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lenkta apkabėlė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5F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0,91</w:t>
            </w:r>
          </w:p>
        </w:tc>
      </w:tr>
      <w:tr w:rsidR="004B14A7" w14:paraId="5573BE65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61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9.3.7.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6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60212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6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dentoalveolinė apkabėlė (pelotas)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64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1,56</w:t>
            </w:r>
          </w:p>
        </w:tc>
      </w:tr>
      <w:tr w:rsidR="004B14A7" w14:paraId="5573BE6A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66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9.3.8.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6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6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lieta iš chromkobalto atraminė apkabėlė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69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3,02</w:t>
            </w:r>
          </w:p>
        </w:tc>
      </w:tr>
      <w:tr w:rsidR="004B14A7" w14:paraId="5573BE6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6B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9.3.9.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6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6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minkšta bazė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6E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7,56</w:t>
            </w:r>
          </w:p>
        </w:tc>
      </w:tr>
      <w:tr w:rsidR="004B14A7" w14:paraId="5573BE7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70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71" w14:textId="77777777" w:rsidR="004B14A7" w:rsidRDefault="004B14A7">
            <w:pPr>
              <w:tabs>
                <w:tab w:val="left" w:pos="916"/>
              </w:tabs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7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Lanko atraminiai protezai iš chromkobalto ir tauriųjų metalų ant ugniai atsparaus modelio: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73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E7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75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9.4.1.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7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7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lanko atraminis protezas-karkasas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78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101,66</w:t>
            </w:r>
          </w:p>
        </w:tc>
      </w:tr>
      <w:tr w:rsidR="004B14A7" w14:paraId="5573BE7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7A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7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7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lanko atraminis protezas su visų sistemų užraktais-karkasas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7D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108,17</w:t>
            </w:r>
          </w:p>
        </w:tc>
      </w:tr>
      <w:tr w:rsidR="004B14A7" w14:paraId="5573BE8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7F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8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8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lanko atraminio protezo atraminio kabliuko įstatymas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82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10,95</w:t>
            </w:r>
          </w:p>
        </w:tc>
      </w:tr>
      <w:tr w:rsidR="004B14A7" w14:paraId="5573BE8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84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9.4.4.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8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8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lanko atraminio protezo užrakto įstatymas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8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14,08</w:t>
            </w:r>
          </w:p>
        </w:tc>
      </w:tr>
      <w:tr w:rsidR="004B14A7" w14:paraId="5573BE8D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89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9.4.5.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8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8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vieno atraminio danties frezavimas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8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14,08</w:t>
            </w:r>
          </w:p>
        </w:tc>
      </w:tr>
      <w:tr w:rsidR="004B14A7" w14:paraId="5573BE9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8E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9.4.6.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8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9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 danties įstatymas į lanko atraminį protezą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91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1,30</w:t>
            </w:r>
          </w:p>
        </w:tc>
      </w:tr>
      <w:tr w:rsidR="004B14A7" w14:paraId="5573BE9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93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94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9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Lieti protezai: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96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E9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98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9.5.1.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9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9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metalo keramikos vainikėlis arba metalo keramikos dantis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9B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99,05</w:t>
            </w:r>
          </w:p>
        </w:tc>
      </w:tr>
      <w:tr w:rsidR="004B14A7" w14:paraId="5573BEA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9D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9.5.2.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9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9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lietas vainikėlis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A0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30,24</w:t>
            </w:r>
          </w:p>
        </w:tc>
      </w:tr>
      <w:tr w:rsidR="004B14A7" w14:paraId="5573BEA6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A2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9.5.3.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A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A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lietas metalo plastiko vainikėlis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A5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60,21</w:t>
            </w:r>
          </w:p>
        </w:tc>
      </w:tr>
      <w:tr w:rsidR="004B14A7" w14:paraId="5573BEA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A7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9.5.4.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A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A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lietas dantis su metalo plastiko apdaila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AA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33,36</w:t>
            </w:r>
          </w:p>
        </w:tc>
      </w:tr>
      <w:tr w:rsidR="004B14A7" w14:paraId="5573BEB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AC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9.5.5.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A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A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lietas pusinis vainikėlis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AF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36,49</w:t>
            </w:r>
          </w:p>
        </w:tc>
      </w:tr>
      <w:tr w:rsidR="004B14A7" w14:paraId="5573BEB5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B1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9.5.6.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B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B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įklotas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B4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11,99</w:t>
            </w:r>
          </w:p>
        </w:tc>
      </w:tr>
      <w:tr w:rsidR="004B14A7" w14:paraId="5573BEBA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B6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9.5.7.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B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B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lietas vienašakis kultinis įklotas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B9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15,12</w:t>
            </w:r>
          </w:p>
        </w:tc>
      </w:tr>
      <w:tr w:rsidR="004B14A7" w14:paraId="5573BEB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BB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9.5.8.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B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B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lietas dvišakis kultinis įklotas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BE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21,11</w:t>
            </w:r>
          </w:p>
        </w:tc>
      </w:tr>
      <w:tr w:rsidR="004B14A7" w14:paraId="5573BEC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C0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9.5.9.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C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C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lietas trišakis kultinis įklotas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C3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27,11</w:t>
            </w:r>
          </w:p>
        </w:tc>
      </w:tr>
      <w:tr w:rsidR="004B14A7" w14:paraId="5573BEC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C5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9.5.10.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C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C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lieto karkaso perpjovimas ir suvirinimas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C8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9,38</w:t>
            </w:r>
          </w:p>
        </w:tc>
      </w:tr>
      <w:tr w:rsidR="004B14A7" w14:paraId="5573BEC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CA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CB" w14:textId="77777777" w:rsidR="004B14A7" w:rsidRDefault="004B14A7">
            <w:pPr>
              <w:tabs>
                <w:tab w:val="left" w:pos="916"/>
              </w:tabs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C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Štampuoti-lituoti dantų protezai iš netauriųjų metalų: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CD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ED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CF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9.6.1.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D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D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štampuotas vainikėlis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D2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10,95</w:t>
            </w:r>
          </w:p>
        </w:tc>
      </w:tr>
      <w:tr w:rsidR="004B14A7" w14:paraId="5573BED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D4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9.6.2.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D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D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štampuotas kombinuotas vainikėlis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D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14,34</w:t>
            </w:r>
          </w:p>
        </w:tc>
      </w:tr>
      <w:tr w:rsidR="004B14A7" w14:paraId="5573BEDD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D9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9.6.3.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D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D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atraminis štampuotas vainikėlis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D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13,03</w:t>
            </w:r>
          </w:p>
        </w:tc>
      </w:tr>
      <w:tr w:rsidR="004B14A7" w14:paraId="5573BEE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DE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9.6.4.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D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E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lietas dantis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E1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9,91</w:t>
            </w:r>
          </w:p>
        </w:tc>
      </w:tr>
      <w:tr w:rsidR="004B14A7" w14:paraId="5573BEE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E3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9.6.5.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E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E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lietas dantis su plastmasine apdaila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E6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14,34</w:t>
            </w:r>
          </w:p>
        </w:tc>
      </w:tr>
      <w:tr w:rsidR="004B14A7" w14:paraId="5573BEE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E8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9.6.6.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E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E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tiltinio protezo okliuzinė ataugėlė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EB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0,91</w:t>
            </w:r>
          </w:p>
        </w:tc>
      </w:tr>
      <w:tr w:rsidR="004B14A7" w14:paraId="5573BEF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ED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9.6.7.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E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E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sulitavimas lydmetaliu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F0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1,30</w:t>
            </w:r>
          </w:p>
        </w:tc>
      </w:tr>
      <w:tr w:rsidR="004B14A7" w14:paraId="5573BEF6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F2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9.6.8.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F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F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sulitavimas lazeriu (viena siūlė)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F5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1,95</w:t>
            </w:r>
          </w:p>
        </w:tc>
      </w:tr>
      <w:tr w:rsidR="004B14A7" w14:paraId="5573BEF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F7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F8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F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Štampuoti-lituoti dantų protezai iš tauriųjų metalų: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FA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F0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FC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9.7.1.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F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F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štampuotas vainikėlis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EFF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12,51</w:t>
            </w:r>
          </w:p>
        </w:tc>
      </w:tr>
      <w:tr w:rsidR="004B14A7" w14:paraId="5573BF05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01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9.7.2.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0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0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štampuotas kombinuotas vainikėlis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04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15,90</w:t>
            </w:r>
          </w:p>
        </w:tc>
      </w:tr>
      <w:tr w:rsidR="004B14A7" w14:paraId="5573BF0A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06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9.7.3.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0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0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štampuotas atraminis vainikėlis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09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14,34</w:t>
            </w:r>
          </w:p>
        </w:tc>
      </w:tr>
      <w:tr w:rsidR="004B14A7" w14:paraId="5573BF0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0B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9.7.4.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0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0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lietas dantis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0E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11,21</w:t>
            </w:r>
          </w:p>
        </w:tc>
      </w:tr>
      <w:tr w:rsidR="004B14A7" w14:paraId="5573BF1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10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9.7.5.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1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1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tiltinio protezo okliuzinė ataugėlė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13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2,09</w:t>
            </w:r>
          </w:p>
        </w:tc>
      </w:tr>
      <w:tr w:rsidR="004B14A7" w14:paraId="5573BF1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15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9.7.6.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1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1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kramtomojo paviršiaus įliejimas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18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1,30</w:t>
            </w:r>
          </w:p>
        </w:tc>
      </w:tr>
      <w:tr w:rsidR="004B14A7" w14:paraId="5573BF1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1A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9.7.7.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1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1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sulitavimas lydmetaliu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1D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1,30</w:t>
            </w:r>
          </w:p>
        </w:tc>
      </w:tr>
      <w:tr w:rsidR="004B14A7" w14:paraId="5573BF2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1F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20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2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Protezų pataisos: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22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F2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24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9.8.1.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2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2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1–2 plastmasinių dantų įdėjimas, restauruojant plokštelę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2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4,17</w:t>
            </w:r>
          </w:p>
        </w:tc>
      </w:tr>
      <w:tr w:rsidR="004B14A7" w14:paraId="5573BF2D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29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9.8.2.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2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2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1–2 porcelianinių dantų įdėjimas, restauruojant plokštelę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2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4,95</w:t>
            </w:r>
          </w:p>
        </w:tc>
      </w:tr>
      <w:tr w:rsidR="004B14A7" w14:paraId="5573BF3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2E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9.8.3.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2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3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3–4 plastmasinių dantų įdėjimas, restauruojant plokštelę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31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6,52</w:t>
            </w:r>
          </w:p>
        </w:tc>
      </w:tr>
      <w:tr w:rsidR="004B14A7" w14:paraId="5573BF3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33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9.8.4.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3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3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lūžusio plokštelės pagrindo pataisymas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36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4,17</w:t>
            </w:r>
          </w:p>
        </w:tc>
      </w:tr>
      <w:tr w:rsidR="004B14A7" w14:paraId="5573BF3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38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9.8.5.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3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3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lūžusio plokštelės pagrindo pataisymas ir armavimas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3B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4,69</w:t>
            </w:r>
          </w:p>
        </w:tc>
      </w:tr>
      <w:tr w:rsidR="004B14A7" w14:paraId="5573BF4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3D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9.8.6.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3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3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 lūžių plokštelės pagrindo pataisymas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40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5,21</w:t>
            </w:r>
          </w:p>
        </w:tc>
      </w:tr>
      <w:tr w:rsidR="004B14A7" w14:paraId="5573BF46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42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9.8.7.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4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4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vienos apkabėlės pakeitimas, įdėjimas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45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4,17</w:t>
            </w:r>
          </w:p>
        </w:tc>
      </w:tr>
      <w:tr w:rsidR="004B14A7" w14:paraId="5573BF4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47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9.8.8.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4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4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seno protezo bazės pataisymas (perbazavimas laboratoriniu būdu)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4A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9,91</w:t>
            </w:r>
          </w:p>
        </w:tc>
      </w:tr>
      <w:tr w:rsidR="004B14A7" w14:paraId="5573BF5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4C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9.8.9.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4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4E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vainikėlio arba danties plastmasinės apdailos restauravimas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4F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10,43</w:t>
            </w:r>
          </w:p>
        </w:tc>
      </w:tr>
      <w:tr w:rsidR="004B14A7" w14:paraId="5573BF55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51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52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53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Kitos paslaugos: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54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F5A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56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9.9.1.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5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58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porceliano vainikėlis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59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72,46</w:t>
            </w:r>
          </w:p>
        </w:tc>
      </w:tr>
      <w:tr w:rsidR="004B14A7" w14:paraId="5573BF5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5B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9.9.2.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5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5D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plastmasinis vainikėlis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5E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10,43</w:t>
            </w:r>
          </w:p>
        </w:tc>
      </w:tr>
      <w:tr w:rsidR="004B14A7" w14:paraId="5573BF6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60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9.9.3.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6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6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štampuoto vainikėlio nuėmimas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63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1,30</w:t>
            </w:r>
          </w:p>
        </w:tc>
      </w:tr>
      <w:tr w:rsidR="004B14A7" w14:paraId="5573BF6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65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9.9.4.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6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6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lieto vainikėlio nuėmimas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68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6,00</w:t>
            </w:r>
          </w:p>
        </w:tc>
      </w:tr>
      <w:tr w:rsidR="004B14A7" w14:paraId="5573BF6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6A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9.9.5.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6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6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vainikėlio cementavimas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6D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1,04</w:t>
            </w:r>
          </w:p>
        </w:tc>
      </w:tr>
      <w:tr w:rsidR="004B14A7" w14:paraId="5573BF7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6F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9.9.6.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7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71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vienmomentinio atspaudo nuėmimas be retrakcijos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72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1,56</w:t>
            </w:r>
          </w:p>
        </w:tc>
      </w:tr>
      <w:tr w:rsidR="004B14A7" w14:paraId="5573BF7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74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9.9.7.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7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76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dvimomentinio atspaudo nuėmimas be retrakcijos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7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2,35</w:t>
            </w:r>
          </w:p>
        </w:tc>
      </w:tr>
      <w:tr w:rsidR="004B14A7" w14:paraId="5573BF7D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79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9.9.8.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7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7B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vieno danties gleivinės retrakcija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7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1,82</w:t>
            </w:r>
          </w:p>
        </w:tc>
      </w:tr>
      <w:tr w:rsidR="004B14A7" w14:paraId="5573BF8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7E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9.9.9.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7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60263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8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diagnostinis modelis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81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1,82</w:t>
            </w:r>
          </w:p>
        </w:tc>
      </w:tr>
      <w:tr w:rsidR="004B14A7" w14:paraId="5573BF8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83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9.9.10.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8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8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danties šaknies kanalo paruošimas  kultiniam-kaištiniam </w:t>
            </w:r>
          </w:p>
          <w:p w14:paraId="5573BF87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įklotui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88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3,77</w:t>
            </w:r>
          </w:p>
        </w:tc>
      </w:tr>
      <w:tr w:rsidR="004B14A7" w14:paraId="5573BF8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8A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8B" w14:textId="77777777" w:rsidR="004B14A7" w:rsidRDefault="004B14A7">
            <w:pPr>
              <w:tabs>
                <w:tab w:val="left" w:pos="884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8C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Dantų implantacija (1etapo kainos) (dėl atitinkamų dantų gali reikėti 2 etapo, tada kaina didinama 1,5 karto) (be implantato kainos):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8D" w14:textId="77777777" w:rsidR="004B14A7" w:rsidRDefault="004B14A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573BF9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8F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9.10.1.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90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91" w14:textId="77777777" w:rsidR="004B14A7" w:rsidRDefault="0073729C">
            <w:pPr>
              <w:tabs>
                <w:tab w:val="left" w:pos="916"/>
              </w:tabs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sinuso dugno pakėlimas atkuriant kaulą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92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122,51</w:t>
            </w:r>
          </w:p>
        </w:tc>
      </w:tr>
      <w:tr w:rsidR="004B14A7" w14:paraId="5573BF9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94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9.10.2.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95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96" w14:textId="77777777" w:rsidR="004B14A7" w:rsidRDefault="0073729C">
            <w:pPr>
              <w:tabs>
                <w:tab w:val="left" w:pos="916"/>
              </w:tabs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subkortikalinė (subperiostatinė) implantacija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97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37,65</w:t>
            </w:r>
          </w:p>
        </w:tc>
      </w:tr>
      <w:tr w:rsidR="004B14A7" w14:paraId="5573BF9D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99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9.10.3.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9A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9B" w14:textId="77777777" w:rsidR="004B14A7" w:rsidRDefault="0073729C">
            <w:pPr>
              <w:tabs>
                <w:tab w:val="left" w:pos="916"/>
              </w:tabs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endosalinė implantacija su 1 galvute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9C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43,73</w:t>
            </w:r>
          </w:p>
        </w:tc>
      </w:tr>
      <w:tr w:rsidR="004B14A7" w14:paraId="5573BFA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9E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9.10.4.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9F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A0" w14:textId="77777777" w:rsidR="004B14A7" w:rsidRDefault="0073729C">
            <w:pPr>
              <w:tabs>
                <w:tab w:val="left" w:pos="916"/>
              </w:tabs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endosalinė implantacija su 2 galvutėmis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A1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56,77</w:t>
            </w:r>
          </w:p>
        </w:tc>
      </w:tr>
      <w:tr w:rsidR="004B14A7" w14:paraId="5573BFA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A3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9.10.5.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A4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A5" w14:textId="77777777" w:rsidR="004B14A7" w:rsidRDefault="0073729C">
            <w:pPr>
              <w:tabs>
                <w:tab w:val="left" w:pos="916"/>
              </w:tabs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sraigtinė implantacija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A6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55,03</w:t>
            </w:r>
          </w:p>
        </w:tc>
      </w:tr>
      <w:tr w:rsidR="004B14A7" w14:paraId="5573BFB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A8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9.10.6.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A9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AA" w14:textId="77777777" w:rsidR="004B14A7" w:rsidRDefault="0073729C">
            <w:pPr>
              <w:tabs>
                <w:tab w:val="left" w:pos="916"/>
              </w:tabs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vienos žandikaulio pusės alveolinės ataugos</w:t>
            </w:r>
          </w:p>
          <w:p w14:paraId="5573BFAC" w14:textId="77777777" w:rsidR="004B14A7" w:rsidRDefault="0073729C">
            <w:pPr>
              <w:tabs>
                <w:tab w:val="left" w:pos="916"/>
              </w:tabs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paaukštinimas  (kaulo defekto užpildymas TCP</w:t>
            </w:r>
          </w:p>
          <w:p w14:paraId="5573BFAE" w14:textId="77777777" w:rsidR="004B14A7" w:rsidRDefault="0073729C">
            <w:pPr>
              <w:tabs>
                <w:tab w:val="left" w:pos="916"/>
              </w:tabs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arba HA keramika)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AF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57,63</w:t>
            </w:r>
          </w:p>
        </w:tc>
      </w:tr>
      <w:tr w:rsidR="004B14A7" w14:paraId="5573BFB7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B1" w14:textId="77777777" w:rsidR="004B14A7" w:rsidRDefault="0073729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9.10.7.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FB2" w14:textId="77777777" w:rsidR="004B14A7" w:rsidRDefault="0073729C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60271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B3" w14:textId="77777777" w:rsidR="004B14A7" w:rsidRDefault="0073729C">
            <w:pPr>
              <w:tabs>
                <w:tab w:val="left" w:pos="916"/>
              </w:tabs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implantato naudojimas veido žandikaulių ir plastinėje</w:t>
            </w:r>
          </w:p>
          <w:p w14:paraId="5573BFB5" w14:textId="77777777" w:rsidR="004B14A7" w:rsidRDefault="0073729C">
            <w:pPr>
              <w:tabs>
                <w:tab w:val="left" w:pos="916"/>
              </w:tabs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chirurgijoje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BFB6" w14:textId="77777777" w:rsidR="004B14A7" w:rsidRDefault="0073729C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330,75</w:t>
            </w:r>
          </w:p>
        </w:tc>
      </w:tr>
    </w:tbl>
    <w:p w14:paraId="5573BFB8" w14:textId="25F83009" w:rsidR="004B14A7" w:rsidRDefault="004B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</w:p>
    <w:p w14:paraId="2434C169" w14:textId="2EB0A83F" w:rsidR="004B14A7" w:rsidRDefault="004B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</w:p>
    <w:p w14:paraId="5573BFB9" w14:textId="4498E2BE" w:rsidR="004B14A7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14:paraId="035ADFEC" w14:textId="5B28FFC8" w:rsidR="004B14A7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14:paraId="0249A6C3" w14:textId="6DAE21C6" w:rsidR="0073729C" w:rsidRDefault="0073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  <w:sectPr w:rsidR="007372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849" w:bottom="1276" w:left="1701" w:header="567" w:footer="413" w:gutter="0"/>
          <w:pgNumType w:start="0" w:chapStyle="1"/>
          <w:cols w:space="1296"/>
          <w:titlePg/>
          <w:docGrid w:linePitch="360"/>
        </w:sectPr>
      </w:pPr>
    </w:p>
    <w:p w14:paraId="582E8B7A" w14:textId="6417DB6C" w:rsidR="004B14A7" w:rsidRDefault="0073729C">
      <w:pPr>
        <w:tabs>
          <w:tab w:val="left" w:pos="10348"/>
        </w:tabs>
        <w:ind w:left="10348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Mokamų asmens sveikatos priežiūros</w:t>
      </w:r>
    </w:p>
    <w:p w14:paraId="0CA9AA14" w14:textId="77777777" w:rsidR="004B14A7" w:rsidRDefault="0073729C">
      <w:pPr>
        <w:ind w:left="10348"/>
        <w:rPr>
          <w:szCs w:val="24"/>
          <w:lang w:eastAsia="lt-LT"/>
        </w:rPr>
      </w:pPr>
      <w:r>
        <w:rPr>
          <w:szCs w:val="24"/>
          <w:lang w:eastAsia="lt-LT"/>
        </w:rPr>
        <w:t>paslaugų kainų nustatymo ir jų</w:t>
      </w:r>
    </w:p>
    <w:p w14:paraId="63EE842D" w14:textId="77777777" w:rsidR="004B14A7" w:rsidRDefault="0073729C">
      <w:pPr>
        <w:ind w:left="10348"/>
        <w:rPr>
          <w:szCs w:val="24"/>
          <w:lang w:eastAsia="lt-LT"/>
        </w:rPr>
      </w:pPr>
      <w:r>
        <w:rPr>
          <w:szCs w:val="24"/>
          <w:lang w:eastAsia="lt-LT"/>
        </w:rPr>
        <w:t>indeksavimo tvarkos</w:t>
      </w:r>
    </w:p>
    <w:p w14:paraId="5051940E" w14:textId="77777777" w:rsidR="004B14A7" w:rsidRDefault="0073729C">
      <w:pPr>
        <w:ind w:left="10348"/>
        <w:rPr>
          <w:szCs w:val="24"/>
        </w:rPr>
      </w:pPr>
      <w:r>
        <w:rPr>
          <w:szCs w:val="24"/>
        </w:rPr>
        <w:t>priedas</w:t>
      </w:r>
    </w:p>
    <w:p w14:paraId="64A9B187" w14:textId="77777777" w:rsidR="004B14A7" w:rsidRDefault="004B14A7">
      <w:pPr>
        <w:jc w:val="center"/>
        <w:rPr>
          <w:szCs w:val="24"/>
          <w:lang w:eastAsia="lt-LT"/>
        </w:rPr>
      </w:pPr>
    </w:p>
    <w:p w14:paraId="5D0C7D14" w14:textId="52546025" w:rsidR="004B14A7" w:rsidRDefault="0073729C">
      <w:pPr>
        <w:jc w:val="center"/>
        <w:rPr>
          <w:b/>
          <w:szCs w:val="24"/>
        </w:rPr>
      </w:pPr>
      <w:r>
        <w:rPr>
          <w:b/>
          <w:szCs w:val="24"/>
        </w:rPr>
        <w:t>TECHNOLOGINIS APRAŠYMAS</w:t>
      </w:r>
    </w:p>
    <w:p w14:paraId="43275DD4" w14:textId="77777777" w:rsidR="004B14A7" w:rsidRDefault="004B14A7">
      <w:pPr>
        <w:jc w:val="center"/>
        <w:rPr>
          <w:b/>
          <w:szCs w:val="24"/>
        </w:rPr>
      </w:pPr>
    </w:p>
    <w:tbl>
      <w:tblPr>
        <w:tblW w:w="14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561"/>
        <w:gridCol w:w="1560"/>
        <w:gridCol w:w="1277"/>
        <w:gridCol w:w="1702"/>
        <w:gridCol w:w="1134"/>
        <w:gridCol w:w="2127"/>
        <w:gridCol w:w="1418"/>
        <w:gridCol w:w="2128"/>
      </w:tblGrid>
      <w:tr w:rsidR="004B14A7" w14:paraId="60BBAD2E" w14:textId="77777777">
        <w:trPr>
          <w:trHeight w:val="8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67A1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Pozicijos Nr.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F6E9E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Paslaugos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38926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Paslaugos sudėtinės dalys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16A45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Profesija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6AF62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Kvalifikacinė      kategorija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32608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Žmonių skaičius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6DC2B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Vidutinis mėn. atlyginimas  (eurais)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9409A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Darbo trukmė (val.)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02BC4" w14:textId="77777777" w:rsidR="004B14A7" w:rsidRDefault="0073729C">
            <w:pPr>
              <w:tabs>
                <w:tab w:val="left" w:pos="2160"/>
              </w:tabs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Darbo  užmokestis (eurais)</w:t>
            </w:r>
          </w:p>
        </w:tc>
      </w:tr>
      <w:tr w:rsidR="004B14A7" w14:paraId="648E78D5" w14:textId="77777777">
        <w:trPr>
          <w:trHeight w:val="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B9A5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1B30C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ED7D5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AE59C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78CB4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DB8F9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DEB4B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876FC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97A1D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</w:p>
        </w:tc>
      </w:tr>
      <w:tr w:rsidR="004B14A7" w14:paraId="06DE0B24" w14:textId="77777777">
        <w:trPr>
          <w:trHeight w:val="2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E7C76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A916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89240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723F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EC249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05DD7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CA31F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AC7E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4F66A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2EDF0018" w14:textId="77777777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E1443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BF9F3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AE2D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6D874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AA764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48B95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BAE51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B3570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DE5A0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7713E1F" w14:textId="77777777">
        <w:trPr>
          <w:trHeight w:val="2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371CF" w14:textId="77777777" w:rsidR="004B14A7" w:rsidRDefault="0073729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1EAEA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DEF3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00E5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F4C1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16A54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8E6AC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5F2E9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47E61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8EEFAF6" w14:textId="77777777">
        <w:trPr>
          <w:trHeight w:val="2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1596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EBAB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C03B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991B8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8041B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2457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0C9C4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9399F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4654D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77FD77F5" w14:textId="77777777">
        <w:trPr>
          <w:trHeight w:val="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E8DDA" w14:textId="77777777" w:rsidR="004B14A7" w:rsidRDefault="0073729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4BFE9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30DB5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1BE36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ACED9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E1B45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91661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C9228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D93B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</w:tbl>
    <w:p w14:paraId="51EFF5CD" w14:textId="77777777" w:rsidR="004B14A7" w:rsidRDefault="004B14A7">
      <w:pPr>
        <w:jc w:val="center"/>
        <w:rPr>
          <w:color w:val="000000"/>
          <w:szCs w:val="24"/>
          <w:lang w:eastAsia="lt-LT"/>
        </w:rPr>
      </w:pPr>
    </w:p>
    <w:p w14:paraId="7DB5A6CA" w14:textId="16A4BC94" w:rsidR="004B14A7" w:rsidRDefault="0073729C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TECHNOLOGINIS APRAŠYMAS (MATERIALINĖS SĄNAUDOS)</w:t>
      </w:r>
    </w:p>
    <w:p w14:paraId="3CCC941C" w14:textId="77777777" w:rsidR="004B14A7" w:rsidRDefault="004B14A7">
      <w:pPr>
        <w:jc w:val="center"/>
        <w:rPr>
          <w:b/>
          <w:color w:val="000000"/>
          <w:szCs w:val="24"/>
          <w:lang w:eastAsia="lt-LT"/>
        </w:rPr>
      </w:pPr>
    </w:p>
    <w:tbl>
      <w:tblPr>
        <w:tblW w:w="14126" w:type="dxa"/>
        <w:tblInd w:w="93" w:type="dxa"/>
        <w:tblLook w:val="04A0" w:firstRow="1" w:lastRow="0" w:firstColumn="1" w:lastColumn="0" w:noHBand="0" w:noVBand="1"/>
      </w:tblPr>
      <w:tblGrid>
        <w:gridCol w:w="1213"/>
        <w:gridCol w:w="1775"/>
        <w:gridCol w:w="850"/>
        <w:gridCol w:w="1273"/>
        <w:gridCol w:w="1274"/>
        <w:gridCol w:w="1132"/>
        <w:gridCol w:w="1685"/>
        <w:gridCol w:w="878"/>
        <w:gridCol w:w="1016"/>
        <w:gridCol w:w="1557"/>
        <w:gridCol w:w="1473"/>
      </w:tblGrid>
      <w:tr w:rsidR="004B14A7" w14:paraId="1D317EF4" w14:textId="77777777">
        <w:trPr>
          <w:trHeight w:val="321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D243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Pozicijos Nr.</w:t>
            </w:r>
          </w:p>
        </w:tc>
        <w:tc>
          <w:tcPr>
            <w:tcW w:w="12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4110E2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Materialinės sąnaudos</w:t>
            </w:r>
          </w:p>
        </w:tc>
      </w:tr>
      <w:tr w:rsidR="004B14A7" w14:paraId="56B14D2C" w14:textId="7777777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09BF" w14:textId="77777777" w:rsidR="004B14A7" w:rsidRDefault="004B14A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E29338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Vaistai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3692F9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Kitos medžiagos</w:t>
            </w:r>
          </w:p>
        </w:tc>
      </w:tr>
      <w:tr w:rsidR="004B14A7" w14:paraId="427D0E9A" w14:textId="7777777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A6E58" w14:textId="77777777" w:rsidR="004B14A7" w:rsidRDefault="004B14A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0C3F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A47A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Mato vnt.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320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Kiekis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5E31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Vnt. kaina eurais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6726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Suma eurais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057A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1015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Mato vnt.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CBA6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kiekis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66DD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Vnt. kaina eurais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F1AB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Suma eurais</w:t>
            </w:r>
          </w:p>
        </w:tc>
      </w:tr>
      <w:tr w:rsidR="004B14A7" w14:paraId="02A1FE5B" w14:textId="77777777">
        <w:trPr>
          <w:trHeight w:val="167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60FD9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D2DF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88316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9C72C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AB734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32605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68FBE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54484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24348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C1E5C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59D57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</w:tc>
      </w:tr>
      <w:tr w:rsidR="004B14A7" w14:paraId="63AA2A76" w14:textId="77777777">
        <w:trPr>
          <w:trHeight w:val="17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7A42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23842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4E14B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3BF42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D059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D528C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77AA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F6E14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ECD62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9F375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D9497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68CD6455" w14:textId="77777777">
        <w:trPr>
          <w:trHeight w:val="18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BE742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38227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4EE54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7F663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4270F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B1DED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7DEC5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A04F4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CF93A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2182F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6B57D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7643603B" w14:textId="77777777">
        <w:trPr>
          <w:trHeight w:val="31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F0EAF" w14:textId="77777777" w:rsidR="004B14A7" w:rsidRDefault="0073729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2870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33ADC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5F286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5C809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7D471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DBE5A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C7198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E811A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B94B8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51B40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50C549C2" w14:textId="77777777">
        <w:trPr>
          <w:trHeight w:val="131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FAC8D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4D1A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9BAE9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435A9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B9D5C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0D41F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934A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D322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B06AC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BC6FA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D647F" w14:textId="77777777" w:rsidR="004B14A7" w:rsidRDefault="004B14A7">
            <w:pPr>
              <w:ind w:firstLineChars="700" w:firstLine="168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72CBA7DC" w14:textId="77777777">
        <w:trPr>
          <w:trHeight w:val="147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B675A" w14:textId="77777777" w:rsidR="004B14A7" w:rsidRDefault="0073729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8B34C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34F04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B0F36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384C0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8966F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0149D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3A147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EFD42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685FF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6A3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</w:tbl>
    <w:p w14:paraId="09F38CE0" w14:textId="77777777" w:rsidR="004B14A7" w:rsidRDefault="004B14A7">
      <w:pPr>
        <w:jc w:val="center"/>
        <w:rPr>
          <w:color w:val="000000"/>
          <w:szCs w:val="24"/>
          <w:lang w:eastAsia="lt-LT"/>
        </w:rPr>
      </w:pPr>
    </w:p>
    <w:p w14:paraId="7513D0DE" w14:textId="6CB92A9D" w:rsidR="004B14A7" w:rsidRDefault="004B14A7">
      <w:pPr>
        <w:jc w:val="center"/>
        <w:rPr>
          <w:color w:val="000000"/>
          <w:szCs w:val="24"/>
          <w:lang w:eastAsia="lt-LT"/>
        </w:rPr>
      </w:pPr>
    </w:p>
    <w:p w14:paraId="1440CD19" w14:textId="09ABAC0C" w:rsidR="004B14A7" w:rsidRDefault="0073729C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TECHNOLOGINIS APRAŠYMAS (PAGRINDINĖS PRIEMONĖS IR JŲ NUSIDĖVĖJIMAS)</w:t>
      </w:r>
    </w:p>
    <w:p w14:paraId="1508FE4B" w14:textId="77777777" w:rsidR="004B14A7" w:rsidRDefault="004B14A7">
      <w:pPr>
        <w:jc w:val="center"/>
        <w:rPr>
          <w:color w:val="000000"/>
          <w:szCs w:val="24"/>
          <w:lang w:eastAsia="lt-LT"/>
        </w:rPr>
      </w:pPr>
    </w:p>
    <w:tbl>
      <w:tblPr>
        <w:tblW w:w="12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702"/>
        <w:gridCol w:w="1986"/>
        <w:gridCol w:w="1418"/>
        <w:gridCol w:w="1844"/>
        <w:gridCol w:w="1560"/>
        <w:gridCol w:w="2694"/>
      </w:tblGrid>
      <w:tr w:rsidR="004B14A7" w14:paraId="00A4DFD4" w14:textId="77777777">
        <w:trPr>
          <w:trHeight w:val="23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3E4B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Pozicijos 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7BD2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E016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Pradinė arba indeksuota vertė         (tūkst. eurų)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79B0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Metams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6301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Nusidėvėjimas, patiriamas suteikiant vieną paslaugą, eurais</w:t>
            </w:r>
          </w:p>
        </w:tc>
      </w:tr>
      <w:tr w:rsidR="004B14A7" w14:paraId="3963B8EC" w14:textId="77777777">
        <w:trPr>
          <w:trHeight w:val="37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7FEA" w14:textId="77777777" w:rsidR="004B14A7" w:rsidRDefault="004B14A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11D0" w14:textId="77777777" w:rsidR="004B14A7" w:rsidRDefault="004B14A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2F2D" w14:textId="77777777" w:rsidR="004B14A7" w:rsidRDefault="004B14A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D0A8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Amartizacijos atskaitymų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6173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Paslaugų kiekis vnt.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36E5" w14:textId="77777777" w:rsidR="004B14A7" w:rsidRDefault="004B14A7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4B14A7" w14:paraId="0B745DD1" w14:textId="77777777">
        <w:trPr>
          <w:trHeight w:val="27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0562" w14:textId="77777777" w:rsidR="004B14A7" w:rsidRDefault="004B14A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5DAA" w14:textId="77777777" w:rsidR="004B14A7" w:rsidRDefault="004B14A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0D2A" w14:textId="77777777" w:rsidR="004B14A7" w:rsidRDefault="004B14A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C5E4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norma,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CC087" w14:textId="77777777" w:rsidR="004B14A7" w:rsidRDefault="0073729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suma, eurais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C8E5" w14:textId="77777777" w:rsidR="004B14A7" w:rsidRDefault="004B14A7">
            <w:pPr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C878" w14:textId="77777777" w:rsidR="004B14A7" w:rsidRDefault="004B14A7">
            <w:pPr>
              <w:rPr>
                <w:b/>
                <w:color w:val="000000"/>
                <w:szCs w:val="24"/>
                <w:lang w:eastAsia="lt-LT"/>
              </w:rPr>
            </w:pPr>
          </w:p>
        </w:tc>
      </w:tr>
      <w:tr w:rsidR="004B14A7" w14:paraId="4F97808C" w14:textId="77777777">
        <w:trPr>
          <w:trHeight w:val="1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FD393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46E2A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33134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3599A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14E40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3B6E8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CAAF5" w14:textId="77777777" w:rsidR="004B14A7" w:rsidRDefault="007372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</w:t>
            </w:r>
          </w:p>
        </w:tc>
      </w:tr>
      <w:tr w:rsidR="004B14A7" w14:paraId="6A81A225" w14:textId="77777777">
        <w:trPr>
          <w:trHeight w:val="1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B6B55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41A4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01F66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16F55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0391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ABCE6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D9A9F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271A9967" w14:textId="77777777">
        <w:trPr>
          <w:trHeight w:val="1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66439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F9F12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65080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B2BF8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2B165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C4389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7C26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1F0DBB21" w14:textId="77777777">
        <w:trPr>
          <w:trHeight w:val="1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BDB09" w14:textId="77777777" w:rsidR="004B14A7" w:rsidRDefault="0073729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EC136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6FF66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0AA2C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D23B7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FF322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160D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2256018B" w14:textId="77777777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0A2A0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BB276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A26B8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C301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ECF7C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A80B1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7EC6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  <w:tr w:rsidR="004B14A7" w14:paraId="01B7243A" w14:textId="77777777">
        <w:trPr>
          <w:trHeight w:val="1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5F335" w14:textId="77777777" w:rsidR="004B14A7" w:rsidRDefault="0073729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01D8F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AC09B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C2FE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44518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B73C0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451E8" w14:textId="77777777" w:rsidR="004B14A7" w:rsidRDefault="004B14A7">
            <w:pPr>
              <w:ind w:firstLine="60"/>
              <w:rPr>
                <w:color w:val="000000"/>
                <w:szCs w:val="24"/>
                <w:lang w:eastAsia="lt-LT"/>
              </w:rPr>
            </w:pPr>
          </w:p>
        </w:tc>
      </w:tr>
    </w:tbl>
    <w:p w14:paraId="326DC75B" w14:textId="50A6E34A" w:rsidR="004B14A7" w:rsidRDefault="004B14A7"/>
    <w:p w14:paraId="42C330CA" w14:textId="19F40F8B" w:rsidR="004B14A7" w:rsidRDefault="0073729C" w:rsidP="0073729C">
      <w:pPr>
        <w:jc w:val="center"/>
        <w:rPr>
          <w:szCs w:val="24"/>
        </w:rPr>
      </w:pPr>
      <w:r>
        <w:rPr>
          <w:color w:val="000000"/>
          <w:szCs w:val="24"/>
          <w:lang w:eastAsia="lt-LT"/>
        </w:rPr>
        <w:t>________________</w:t>
      </w:r>
    </w:p>
    <w:bookmarkStart w:id="0" w:name="_GoBack" w:displacedByCustomXml="next"/>
    <w:bookmarkEnd w:id="0" w:displacedByCustomXml="next"/>
    <w:sectPr w:rsidR="004B14A7">
      <w:pgSz w:w="16838" w:h="11906" w:orient="landscape"/>
      <w:pgMar w:top="1701" w:right="1701" w:bottom="849" w:left="1276" w:header="567" w:footer="413" w:gutter="0"/>
      <w:pgNumType w:start="0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3BFBD" w14:textId="77777777" w:rsidR="004B14A7" w:rsidRDefault="0073729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573BFBE" w14:textId="77777777" w:rsidR="004B14A7" w:rsidRDefault="0073729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BFC2" w14:textId="77777777" w:rsidR="004B14A7" w:rsidRDefault="004B14A7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BFC3" w14:textId="77777777" w:rsidR="004B14A7" w:rsidRDefault="004B14A7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BFC5" w14:textId="77777777" w:rsidR="004B14A7" w:rsidRDefault="004B14A7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3BFBB" w14:textId="77777777" w:rsidR="004B14A7" w:rsidRDefault="0073729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5573BFBC" w14:textId="77777777" w:rsidR="004B14A7" w:rsidRDefault="0073729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BFBF" w14:textId="77777777" w:rsidR="004B14A7" w:rsidRDefault="004B14A7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1EE1" w14:textId="77777777" w:rsidR="004B14A7" w:rsidRDefault="004B14A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BFC4" w14:textId="77777777" w:rsidR="004B14A7" w:rsidRDefault="004B14A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2"/>
    <w:rsid w:val="00021652"/>
    <w:rsid w:val="004B14A7"/>
    <w:rsid w:val="007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73B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37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37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3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1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5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3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1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9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7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5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145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5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2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0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6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6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1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679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9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1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5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1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8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1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1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26"/>
    <w:rsid w:val="00D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0C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0C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10672</Words>
  <Characters>6084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Sveikatos apsaugos ministerija</Company>
  <LinksUpToDate>false</LinksUpToDate>
  <CharactersWithSpaces>16723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2016-02-04T11:25:00Z</dcterms:created>
  <dc:creator>Danutė Spundzevičienė</dc:creator>
  <lastModifiedBy>PETRAUSKAITĖ Girmantė</lastModifiedBy>
  <lastPrinted>2014-08-25T13:06:00Z</lastPrinted>
  <dcterms:modified xsi:type="dcterms:W3CDTF">2016-02-04T11:34:00Z</dcterms:modified>
  <revision>3</revision>
</coreProperties>
</file>