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Cs w:val="24"/>
        </w:rPr>
        <w:alias w:val="pagrindine"/>
        <w:tag w:val="part_9ffe361a2f3c4e4598188fd52dd29886"/>
        <w:id w:val="2065057408"/>
        <w:lock w:val="sdtLocked"/>
        <w:placeholder>
          <w:docPart w:val="DefaultPlaceholder_1082065158"/>
        </w:placeholder>
      </w:sdtPr>
      <w:sdtEndPr>
        <w:rPr>
          <w:rFonts w:eastAsia="Calibri"/>
          <w:b w:val="0"/>
        </w:rPr>
      </w:sdtEndPr>
      <w:sdtContent>
        <w:p w14:paraId="6E78929A" w14:textId="13FF206A" w:rsidR="009C7B2A" w:rsidRDefault="00CE6FF2" w:rsidP="00CE6FF2">
          <w:pPr>
            <w:tabs>
              <w:tab w:val="center" w:pos="4819"/>
              <w:tab w:val="right" w:pos="9638"/>
            </w:tabs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pict w14:anchorId="3186E0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9pt;height:40.5pt" fillcolor="window">
                <v:imagedata r:id="rId8" o:title=""/>
              </v:shape>
            </w:pict>
          </w:r>
        </w:p>
        <w:p w14:paraId="6E78929C" w14:textId="77777777" w:rsidR="009C7B2A" w:rsidRDefault="00CE6FF2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 VIDAUS REIKALŲ MINISTRAS</w:t>
          </w:r>
        </w:p>
        <w:p w14:paraId="6E78929D" w14:textId="77777777" w:rsidR="009C7B2A" w:rsidRDefault="009C7B2A">
          <w:pPr>
            <w:jc w:val="center"/>
            <w:rPr>
              <w:b/>
              <w:szCs w:val="24"/>
            </w:rPr>
          </w:pPr>
        </w:p>
        <w:p w14:paraId="6E78929E" w14:textId="77777777" w:rsidR="009C7B2A" w:rsidRDefault="00CE6FF2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Cs w:val="24"/>
            </w:rPr>
          </w:pPr>
          <w:r>
            <w:rPr>
              <w:rFonts w:eastAsia="Calibri"/>
              <w:b/>
              <w:szCs w:val="24"/>
            </w:rPr>
            <w:t>ĮSAKYMAS</w:t>
          </w:r>
        </w:p>
        <w:p w14:paraId="6E7892A0" w14:textId="5A5CBCB9" w:rsidR="009C7B2A" w:rsidRDefault="00CE6FF2">
          <w:pPr>
            <w:keepNext/>
            <w:jc w:val="center"/>
            <w:rPr>
              <w:b/>
              <w:bCs/>
              <w:smallCaps/>
              <w:szCs w:val="24"/>
              <w:lang w:eastAsia="lt-LT"/>
            </w:rPr>
          </w:pPr>
          <w:r>
            <w:rPr>
              <w:b/>
              <w:bCs/>
              <w:smallCaps/>
              <w:szCs w:val="24"/>
              <w:lang w:eastAsia="lt-LT"/>
            </w:rPr>
            <w:t xml:space="preserve">DĖL FINANSAVIMO SKYRIMO PROJEKTAMS, FINANSUOJAMIEMS PAGAL 2014–2020 METŲ EUROPOS SĄJUNGOS FONDŲ INVESTICIJŲ VEIKSMŲ PROGRAMOS </w:t>
          </w:r>
          <w:r>
            <w:rPr>
              <w:b/>
              <w:bCs/>
              <w:smallCaps/>
              <w:szCs w:val="24"/>
              <w:lang w:eastAsia="lt-LT"/>
            </w:rPr>
            <w:t xml:space="preserve">8 PRIORITETO „SOCIALINĖS ĮTRAUKTIES DIDINIMAS IR </w:t>
          </w:r>
          <w:r>
            <w:rPr>
              <w:b/>
              <w:bCs/>
              <w:smallCaps/>
              <w:szCs w:val="24"/>
              <w:lang w:eastAsia="lt-LT"/>
            </w:rPr>
            <w:t>KOVA SU SKURDU“ 08.6.1-ESFA-T-909 PRIEMONĘ „VIETOS PLĖTROS STRATEGIJŲ RENGIMAS“</w:t>
          </w:r>
        </w:p>
        <w:p w14:paraId="6E7892A1" w14:textId="77777777" w:rsidR="009C7B2A" w:rsidRDefault="009C7B2A">
          <w:pPr>
            <w:keepNext/>
            <w:jc w:val="center"/>
            <w:rPr>
              <w:b/>
              <w:caps/>
              <w:smallCaps/>
              <w:szCs w:val="24"/>
              <w:lang w:eastAsia="lt-LT"/>
            </w:rPr>
          </w:pPr>
        </w:p>
        <w:p w14:paraId="6E7892A2" w14:textId="77777777" w:rsidR="009C7B2A" w:rsidRDefault="00CE6FF2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2016 m. sausio 21 d. Nr. 1V-38</w:t>
          </w:r>
        </w:p>
        <w:p w14:paraId="6E7892A3" w14:textId="77777777" w:rsidR="009C7B2A" w:rsidRDefault="00CE6FF2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Vilnius </w:t>
          </w:r>
        </w:p>
        <w:p w14:paraId="6E7892A4" w14:textId="77777777" w:rsidR="009C7B2A" w:rsidRDefault="009C7B2A">
          <w:pPr>
            <w:tabs>
              <w:tab w:val="center" w:pos="4986"/>
              <w:tab w:val="right" w:pos="9972"/>
            </w:tabs>
            <w:spacing w:line="360" w:lineRule="auto"/>
            <w:rPr>
              <w:rFonts w:eastAsia="Calibri"/>
              <w:b/>
              <w:sz w:val="16"/>
              <w:szCs w:val="16"/>
            </w:rPr>
          </w:pPr>
        </w:p>
        <w:p w14:paraId="70D5EFC8" w14:textId="77777777" w:rsidR="00CE6FF2" w:rsidRDefault="00CE6FF2">
          <w:pPr>
            <w:tabs>
              <w:tab w:val="center" w:pos="4986"/>
              <w:tab w:val="right" w:pos="9972"/>
            </w:tabs>
            <w:spacing w:line="360" w:lineRule="auto"/>
            <w:rPr>
              <w:rFonts w:eastAsia="Calibri"/>
              <w:b/>
              <w:sz w:val="16"/>
              <w:szCs w:val="16"/>
            </w:rPr>
          </w:pPr>
        </w:p>
        <w:sdt>
          <w:sdtPr>
            <w:alias w:val="preambule"/>
            <w:tag w:val="part_db17df6c16f64d3bb624b8f2912df4fd"/>
            <w:id w:val="307982920"/>
            <w:lock w:val="sdtLocked"/>
          </w:sdtPr>
          <w:sdtEndPr/>
          <w:sdtContent>
            <w:p w14:paraId="6E7892A5" w14:textId="77777777" w:rsidR="009C7B2A" w:rsidRDefault="00CE6FF2">
              <w:pPr>
                <w:spacing w:line="360" w:lineRule="auto"/>
                <w:ind w:firstLine="851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Vadovaudamasis Projektų administravimo ir finansavimo taisyklių, patvirtintų Lietuvos Respublikos finansų ministro 2014 m. spalio 8 d.</w:t>
              </w:r>
              <w:r>
                <w:rPr>
                  <w:szCs w:val="24"/>
                  <w:lang w:eastAsia="lt-LT"/>
                </w:rPr>
                <w:t xml:space="preserve"> įsakymu Nr. 1K-316 „Dėl Projektų administravimo ir finansavimo taisyklių patvirtinimo“, 153 ir 154 punktais, 2014–2020 metų Europos Sąjungos fondų investicijų veiksmų programos 8 prioriteto „Socialinės įtraukties didinimas ir kova su skurdu“ 08.6.1-ESFA-T</w:t>
              </w:r>
              <w:r>
                <w:rPr>
                  <w:szCs w:val="24"/>
                  <w:lang w:eastAsia="lt-LT"/>
                </w:rPr>
                <w:t>-909 priemonės „Vietos plėtros strategijų rengimas“ projektų finansavimo sąlygų aprašo, patvirtinto Lietuvos Respublikos vidaus reikalų ministro 2015 m. gegužės 18 d. įsakymu Nr. 1V-402 „Dėl 2014–2020 metų Europos Sąjungos fondų investicijų veiksmų program</w:t>
              </w:r>
              <w:r>
                <w:rPr>
                  <w:szCs w:val="24"/>
                  <w:lang w:eastAsia="lt-LT"/>
                </w:rPr>
                <w:t xml:space="preserve">os 8 prioriteto „Socialinės įtraukties didinimas ir kova su skurdu“ 08.6.1-ESFA-T-909 priemonės „Vietos plėtros strategijų rengimas“ projektų finansavimo sąlygų aprašo patvirtinimo“, 52 punktu ir atsižvelgdamas į Europos socialinio fondo agentūros 2016 m. </w:t>
              </w:r>
              <w:r>
                <w:rPr>
                  <w:szCs w:val="24"/>
                  <w:lang w:eastAsia="lt-LT"/>
                </w:rPr>
                <w:t>sausio 7 d. projektų tinkamumo finansuoti vertinimo ataskaitą Nr. 2016-VRM-A001:</w:t>
              </w:r>
            </w:p>
          </w:sdtContent>
        </w:sdt>
        <w:sdt>
          <w:sdtPr>
            <w:alias w:val="1 p."/>
            <w:tag w:val="part_34d8e260b0234fc398bd60ec5eae0a9e"/>
            <w:id w:val="-1287350374"/>
            <w:lock w:val="sdtLocked"/>
          </w:sdtPr>
          <w:sdtEndPr/>
          <w:sdtContent>
            <w:p w14:paraId="6E7892A6" w14:textId="77777777" w:rsidR="009C7B2A" w:rsidRDefault="00CE6FF2">
              <w:pPr>
                <w:spacing w:line="360" w:lineRule="auto"/>
                <w:ind w:firstLine="851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34d8e260b0234fc398bd60ec5eae0a9e"/>
                  <w:id w:val="-1911139583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 S k i r i u šio įsakymo priede nurodytiems iš Europos Sąjungos struktūrinių fondų lėšų bendrai finansuojamiems projektams šio įsakymo priede nustatyto dydžio finansavim</w:t>
              </w:r>
              <w:r>
                <w:rPr>
                  <w:szCs w:val="24"/>
                  <w:lang w:eastAsia="lt-LT"/>
                </w:rPr>
                <w:t>ą iš Vidaus reikalų ministerijos programos „Regionų plėtros ir Europos Sąjungos struktūrinės paramos programų įgyvendinimo užtikrinimas“ (programos kodas 03.03) pagal priemonę „Įgyvendinant vietos plėtros strategijas, gerinti vietines įsidarbinimo galimybe</w:t>
              </w:r>
              <w:r>
                <w:rPr>
                  <w:szCs w:val="24"/>
                  <w:lang w:eastAsia="lt-LT"/>
                </w:rPr>
                <w:t>s ir didinti bendruomenių socialinę integraciją“ (priemonės kodas 01-02-02) finansuoti iš Europos Sąjungos lėšų (finansavimo šaltinio kodas 1.3.2.7.1) ir iš bendrojo finansavimo lėšų (finansavimo šaltinio kodas 1.2.2.7.1).</w:t>
              </w:r>
            </w:p>
          </w:sdtContent>
        </w:sdt>
        <w:sdt>
          <w:sdtPr>
            <w:alias w:val="2 p."/>
            <w:tag w:val="part_856f9a0a0de349e1aaf8a7f398d7ab6a"/>
            <w:id w:val="78107649"/>
            <w:lock w:val="sdtLocked"/>
          </w:sdtPr>
          <w:sdtEndPr/>
          <w:sdtContent>
            <w:p w14:paraId="6E7892A9" w14:textId="2D00FCF3" w:rsidR="009C7B2A" w:rsidRDefault="00CE6FF2" w:rsidP="00CE6FF2">
              <w:pPr>
                <w:spacing w:line="360" w:lineRule="auto"/>
                <w:ind w:firstLine="851"/>
                <w:jc w:val="both"/>
                <w:rPr>
                  <w:rFonts w:eastAsia="Calibri"/>
                  <w:szCs w:val="24"/>
                </w:rPr>
              </w:pPr>
              <w:sdt>
                <w:sdtPr>
                  <w:alias w:val="Numeris"/>
                  <w:tag w:val="nr_856f9a0a0de349e1aaf8a7f398d7ab6a"/>
                  <w:id w:val="1484204587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 Šis įsakymas per vieną mėn</w:t>
              </w:r>
              <w:r>
                <w:rPr>
                  <w:szCs w:val="24"/>
                  <w:lang w:eastAsia="lt-LT"/>
                </w:rPr>
                <w:t>esį gali būti skundžiamas Vyriausiajai administracinių ginčų komisijai arba Vilniaus apygardos administraciniam teismui Lietuvos Respublikos administracinių bylų teisenos įstatymo nustatyta tvarka.</w:t>
              </w:r>
            </w:p>
          </w:sdtContent>
        </w:sdt>
        <w:sdt>
          <w:sdtPr>
            <w:alias w:val="signatura"/>
            <w:tag w:val="part_b9af7df0945446748ddca4d87200321b"/>
            <w:id w:val="-859197592"/>
            <w:lock w:val="sdtLocked"/>
            <w:placeholder>
              <w:docPart w:val="DefaultPlaceholder_1082065158"/>
            </w:placeholder>
          </w:sdtPr>
          <w:sdtEndPr>
            <w:rPr>
              <w:rFonts w:eastAsia="Calibri"/>
              <w:szCs w:val="24"/>
            </w:rPr>
          </w:sdtEndPr>
          <w:sdtContent>
            <w:p w14:paraId="7E855E6D" w14:textId="440DF463" w:rsidR="00CE6FF2" w:rsidRDefault="00CE6FF2">
              <w:pPr>
                <w:tabs>
                  <w:tab w:val="center" w:pos="4986"/>
                  <w:tab w:val="right" w:pos="9972"/>
                </w:tabs>
                <w:spacing w:line="360" w:lineRule="auto"/>
                <w:jc w:val="both"/>
              </w:pPr>
            </w:p>
            <w:p w14:paraId="3F29723C" w14:textId="77777777" w:rsidR="00CE6FF2" w:rsidRDefault="00CE6FF2">
              <w:pPr>
                <w:tabs>
                  <w:tab w:val="center" w:pos="4986"/>
                  <w:tab w:val="right" w:pos="9972"/>
                </w:tabs>
                <w:spacing w:line="360" w:lineRule="auto"/>
                <w:jc w:val="both"/>
              </w:pPr>
            </w:p>
            <w:p w14:paraId="34104FCC" w14:textId="77777777" w:rsidR="00CE6FF2" w:rsidRDefault="00CE6FF2">
              <w:pPr>
                <w:tabs>
                  <w:tab w:val="center" w:pos="4986"/>
                  <w:tab w:val="right" w:pos="9972"/>
                </w:tabs>
                <w:spacing w:line="360" w:lineRule="auto"/>
                <w:jc w:val="both"/>
              </w:pPr>
            </w:p>
            <w:p w14:paraId="6E7892AA" w14:textId="3A76121B" w:rsidR="009C7B2A" w:rsidRDefault="00CE6FF2" w:rsidP="00CE6FF2">
              <w:pPr>
                <w:tabs>
                  <w:tab w:val="right" w:pos="9639"/>
                </w:tabs>
                <w:spacing w:line="360" w:lineRule="auto"/>
                <w:jc w:val="both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Vidaus reikalų ministras</w:t>
              </w:r>
              <w:r>
                <w:rPr>
                  <w:rFonts w:eastAsia="Calibri"/>
                  <w:szCs w:val="24"/>
                </w:rPr>
                <w:tab/>
              </w:r>
              <w:r>
                <w:rPr>
                  <w:rFonts w:eastAsia="Calibri"/>
                  <w:szCs w:val="24"/>
                </w:rPr>
                <w:t xml:space="preserve">Saulius </w:t>
              </w:r>
              <w:proofErr w:type="spellStart"/>
              <w:r>
                <w:rPr>
                  <w:rFonts w:eastAsia="Calibri"/>
                  <w:szCs w:val="24"/>
                </w:rPr>
                <w:t>Skvernelis</w:t>
              </w:r>
              <w:proofErr w:type="spellEnd"/>
            </w:p>
            <w:p w14:paraId="6E7892AB" w14:textId="2978DFD9" w:rsidR="009C7B2A" w:rsidRDefault="00CE6FF2">
              <w:pPr>
                <w:tabs>
                  <w:tab w:val="center" w:pos="4986"/>
                  <w:tab w:val="right" w:pos="9972"/>
                </w:tabs>
                <w:spacing w:line="360" w:lineRule="auto"/>
                <w:jc w:val="both"/>
                <w:rPr>
                  <w:rFonts w:eastAsia="Calibri"/>
                  <w:szCs w:val="24"/>
                </w:rPr>
              </w:pPr>
            </w:p>
          </w:sdtContent>
        </w:sdt>
      </w:sdtContent>
    </w:sdt>
    <w:sdt>
      <w:sdtPr>
        <w:rPr>
          <w:rFonts w:eastAsia="Calibri"/>
          <w:szCs w:val="24"/>
        </w:rPr>
        <w:alias w:val="priedas"/>
        <w:tag w:val="part_d96011f02c324d909fb7b5a7dc86c459"/>
        <w:id w:val="-1636715749"/>
        <w:lock w:val="sdtLocked"/>
        <w:placeholder>
          <w:docPart w:val="DefaultPlaceholder_1082065158"/>
        </w:placeholder>
      </w:sdtPr>
      <w:sdtEndPr>
        <w:rPr>
          <w:rFonts w:ascii="Calibri" w:hAnsi="Calibri"/>
          <w:sz w:val="22"/>
          <w:szCs w:val="22"/>
        </w:rPr>
      </w:sdtEndPr>
      <w:sdtContent>
        <w:bookmarkStart w:id="0" w:name="_GoBack" w:displacedByCustomXml="prev"/>
        <w:p w14:paraId="2748419F" w14:textId="0B9E33E1" w:rsidR="00CE6FF2" w:rsidRDefault="00CE6FF2">
          <w:pPr>
            <w:tabs>
              <w:tab w:val="center" w:pos="4986"/>
              <w:tab w:val="right" w:pos="9972"/>
            </w:tabs>
            <w:spacing w:line="360" w:lineRule="auto"/>
            <w:jc w:val="both"/>
            <w:rPr>
              <w:rFonts w:eastAsia="Calibri"/>
              <w:szCs w:val="24"/>
            </w:rPr>
            <w:sectPr w:rsidR="00CE6FF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134" w:right="567" w:bottom="1134" w:left="1701" w:header="567" w:footer="567" w:gutter="0"/>
              <w:pgNumType w:start="1"/>
              <w:cols w:space="1296"/>
              <w:titlePg/>
              <w:docGrid w:linePitch="360"/>
            </w:sectPr>
          </w:pPr>
        </w:p>
        <w:p w14:paraId="6E7892AC" w14:textId="73E5D239" w:rsidR="009C7B2A" w:rsidRDefault="00CE6FF2">
          <w:pPr>
            <w:ind w:left="9072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lastRenderedPageBreak/>
            <w:t>Lietuvos Respublikos vidaus reikalų ministro</w:t>
          </w:r>
        </w:p>
        <w:p w14:paraId="6E7892AD" w14:textId="77777777" w:rsidR="009C7B2A" w:rsidRDefault="00CE6FF2">
          <w:pPr>
            <w:ind w:left="9072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 xml:space="preserve">2016 m. sausio 21 d. įsakymo Nr. </w:t>
          </w:r>
          <w:r>
            <w:rPr>
              <w:rFonts w:eastAsia="Calibri"/>
              <w:szCs w:val="24"/>
            </w:rPr>
            <w:t>1V-38</w:t>
          </w:r>
        </w:p>
        <w:p w14:paraId="6E7892AE" w14:textId="77777777" w:rsidR="009C7B2A" w:rsidRDefault="00CE6FF2">
          <w:pPr>
            <w:ind w:left="9072"/>
            <w:rPr>
              <w:rFonts w:eastAsia="Calibri"/>
              <w:szCs w:val="24"/>
            </w:rPr>
          </w:pPr>
          <w:r>
            <w:rPr>
              <w:rFonts w:eastAsia="Calibri"/>
              <w:szCs w:val="24"/>
            </w:rPr>
            <w:t>priedas</w:t>
          </w:r>
        </w:p>
        <w:p w14:paraId="6E7892AF" w14:textId="77777777" w:rsidR="009C7B2A" w:rsidRDefault="009C7B2A">
          <w:pPr>
            <w:ind w:firstLine="851"/>
            <w:jc w:val="both"/>
            <w:rPr>
              <w:rFonts w:eastAsia="Calibri"/>
              <w:szCs w:val="24"/>
            </w:rPr>
          </w:pPr>
        </w:p>
        <w:p w14:paraId="6E7892B0" w14:textId="69BEA053" w:rsidR="009C7B2A" w:rsidRDefault="00CE6FF2">
          <w:pPr>
            <w:ind w:firstLine="851"/>
            <w:jc w:val="center"/>
            <w:rPr>
              <w:rFonts w:eastAsia="Calibri"/>
              <w:b/>
              <w:szCs w:val="24"/>
            </w:rPr>
          </w:pPr>
          <w:r>
            <w:rPr>
              <w:rFonts w:eastAsia="Calibri"/>
              <w:b/>
              <w:szCs w:val="24"/>
            </w:rPr>
            <w:t xml:space="preserve">FINANSUOJAMI PROJEKTAI </w:t>
          </w:r>
        </w:p>
        <w:p w14:paraId="6E7892B1" w14:textId="77777777" w:rsidR="009C7B2A" w:rsidRDefault="009C7B2A">
          <w:pPr>
            <w:ind w:firstLine="851"/>
            <w:jc w:val="both"/>
            <w:rPr>
              <w:rFonts w:eastAsia="Calibri"/>
              <w:szCs w:val="24"/>
            </w:rPr>
          </w:pPr>
        </w:p>
        <w:tbl>
          <w:tblPr>
            <w:tblW w:w="14459" w:type="dxa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1418"/>
            <w:gridCol w:w="1757"/>
            <w:gridCol w:w="1503"/>
            <w:gridCol w:w="4395"/>
            <w:gridCol w:w="1701"/>
            <w:gridCol w:w="1559"/>
            <w:gridCol w:w="1559"/>
          </w:tblGrid>
          <w:tr w:rsidR="009C7B2A" w14:paraId="6E7892B8" w14:textId="77777777">
            <w:tc>
              <w:tcPr>
                <w:tcW w:w="567" w:type="dxa"/>
                <w:vMerge w:val="restart"/>
                <w:tcBorders>
                  <w:bottom w:val="nil"/>
                </w:tcBorders>
              </w:tcPr>
              <w:p w14:paraId="6E7892B2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Eil. Nr.</w:t>
                </w:r>
              </w:p>
            </w:tc>
            <w:tc>
              <w:tcPr>
                <w:tcW w:w="1418" w:type="dxa"/>
                <w:vMerge w:val="restart"/>
                <w:tcBorders>
                  <w:bottom w:val="nil"/>
                </w:tcBorders>
              </w:tcPr>
              <w:p w14:paraId="6E7892B3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Paraiškos kodas</w:t>
                </w:r>
              </w:p>
            </w:tc>
            <w:tc>
              <w:tcPr>
                <w:tcW w:w="1757" w:type="dxa"/>
                <w:vMerge w:val="restart"/>
                <w:tcBorders>
                  <w:bottom w:val="nil"/>
                </w:tcBorders>
              </w:tcPr>
              <w:p w14:paraId="6E7892B4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Pareiškėjo pavadinimas</w:t>
                </w:r>
              </w:p>
            </w:tc>
            <w:tc>
              <w:tcPr>
                <w:tcW w:w="1503" w:type="dxa"/>
                <w:vMerge w:val="restart"/>
                <w:tcBorders>
                  <w:bottom w:val="nil"/>
                </w:tcBorders>
              </w:tcPr>
              <w:p w14:paraId="6E7892B5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Pareiškėjo juridinio asmens kodas</w:t>
                </w:r>
              </w:p>
            </w:tc>
            <w:tc>
              <w:tcPr>
                <w:tcW w:w="4395" w:type="dxa"/>
                <w:vMerge w:val="restart"/>
                <w:tcBorders>
                  <w:bottom w:val="nil"/>
                </w:tcBorders>
              </w:tcPr>
              <w:p w14:paraId="6E7892B6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Projekto pavadinimas</w:t>
                </w:r>
              </w:p>
            </w:tc>
            <w:tc>
              <w:tcPr>
                <w:tcW w:w="4819" w:type="dxa"/>
                <w:gridSpan w:val="3"/>
                <w:tcBorders>
                  <w:bottom w:val="single" w:sz="4" w:space="0" w:color="auto"/>
                </w:tcBorders>
              </w:tcPr>
              <w:p w14:paraId="6E7892B7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Projektui skiriamos finansavimo lėšos:</w:t>
                </w:r>
              </w:p>
            </w:tc>
          </w:tr>
          <w:tr w:rsidR="009C7B2A" w14:paraId="6E7892C0" w14:textId="77777777">
            <w:tc>
              <w:tcPr>
                <w:tcW w:w="567" w:type="dxa"/>
                <w:vMerge/>
                <w:tcBorders>
                  <w:top w:val="nil"/>
                </w:tcBorders>
              </w:tcPr>
              <w:p w14:paraId="6E7892B9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418" w:type="dxa"/>
                <w:vMerge/>
                <w:tcBorders>
                  <w:top w:val="nil"/>
                </w:tcBorders>
              </w:tcPr>
              <w:p w14:paraId="6E7892BA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757" w:type="dxa"/>
                <w:vMerge/>
                <w:tcBorders>
                  <w:top w:val="nil"/>
                </w:tcBorders>
              </w:tcPr>
              <w:p w14:paraId="6E7892BB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503" w:type="dxa"/>
                <w:vMerge/>
                <w:tcBorders>
                  <w:top w:val="nil"/>
                </w:tcBorders>
              </w:tcPr>
              <w:p w14:paraId="6E7892BC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vMerge/>
                <w:tcBorders>
                  <w:top w:val="nil"/>
                </w:tcBorders>
              </w:tcPr>
              <w:p w14:paraId="6E7892BD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</w:tcBorders>
              </w:tcPr>
              <w:p w14:paraId="6E7892BE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iš viso – iki, Eur:</w:t>
                </w:r>
              </w:p>
            </w:tc>
            <w:tc>
              <w:tcPr>
                <w:tcW w:w="3118" w:type="dxa"/>
                <w:gridSpan w:val="2"/>
                <w:tcBorders>
                  <w:top w:val="single" w:sz="4" w:space="0" w:color="auto"/>
                </w:tcBorders>
              </w:tcPr>
              <w:p w14:paraId="6E7892BF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iš jų:</w:t>
                </w:r>
              </w:p>
            </w:tc>
          </w:tr>
          <w:tr w:rsidR="009C7B2A" w14:paraId="6E7892C9" w14:textId="77777777">
            <w:tc>
              <w:tcPr>
                <w:tcW w:w="567" w:type="dxa"/>
                <w:vMerge/>
              </w:tcPr>
              <w:p w14:paraId="6E7892C1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418" w:type="dxa"/>
                <w:vMerge/>
              </w:tcPr>
              <w:p w14:paraId="6E7892C2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757" w:type="dxa"/>
                <w:vMerge/>
              </w:tcPr>
              <w:p w14:paraId="6E7892C3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503" w:type="dxa"/>
                <w:vMerge/>
              </w:tcPr>
              <w:p w14:paraId="6E7892C4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vMerge/>
              </w:tcPr>
              <w:p w14:paraId="6E7892C5" w14:textId="77777777" w:rsidR="009C7B2A" w:rsidRDefault="009C7B2A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</w:p>
            </w:tc>
            <w:tc>
              <w:tcPr>
                <w:tcW w:w="1701" w:type="dxa"/>
                <w:vMerge/>
              </w:tcPr>
              <w:p w14:paraId="6E7892C6" w14:textId="77777777" w:rsidR="009C7B2A" w:rsidRDefault="009C7B2A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14:paraId="6E7892C7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 xml:space="preserve">Europos Sąjungos struktūrinių </w:t>
                </w:r>
                <w:r>
                  <w:rPr>
                    <w:rFonts w:eastAsia="Calibri"/>
                    <w:b/>
                    <w:sz w:val="22"/>
                    <w:szCs w:val="22"/>
                  </w:rPr>
                  <w:t>fondų lėšos iki, Eur:</w:t>
                </w:r>
              </w:p>
            </w:tc>
            <w:tc>
              <w:tcPr>
                <w:tcW w:w="1559" w:type="dxa"/>
              </w:tcPr>
              <w:p w14:paraId="6E7892C8" w14:textId="77777777" w:rsidR="009C7B2A" w:rsidRDefault="00CE6FF2">
                <w:pPr>
                  <w:spacing w:line="276" w:lineRule="auto"/>
                  <w:jc w:val="center"/>
                  <w:rPr>
                    <w:rFonts w:eastAsia="Calibri"/>
                    <w:b/>
                    <w:sz w:val="22"/>
                    <w:szCs w:val="22"/>
                  </w:rPr>
                </w:pPr>
                <w:r>
                  <w:rPr>
                    <w:rFonts w:eastAsia="Calibri"/>
                    <w:b/>
                    <w:sz w:val="22"/>
                    <w:szCs w:val="22"/>
                  </w:rPr>
                  <w:t>Lietuvos Respublikos valstybės biudžeto lėšos iki, Eur:</w:t>
                </w:r>
              </w:p>
            </w:tc>
          </w:tr>
          <w:tr w:rsidR="009C7B2A" w14:paraId="6E7892D2" w14:textId="77777777">
            <w:tc>
              <w:tcPr>
                <w:tcW w:w="567" w:type="dxa"/>
              </w:tcPr>
              <w:p w14:paraId="6E7892CA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1.</w:t>
                </w:r>
              </w:p>
            </w:tc>
            <w:tc>
              <w:tcPr>
                <w:tcW w:w="1418" w:type="dxa"/>
              </w:tcPr>
              <w:p w14:paraId="6E7892CB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08.6.1-ESFA-T-909-02-0005</w:t>
                </w:r>
              </w:p>
            </w:tc>
            <w:tc>
              <w:tcPr>
                <w:tcW w:w="1757" w:type="dxa"/>
              </w:tcPr>
              <w:p w14:paraId="6E7892CC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Zarasų miesto vietos veiklos grupė</w:t>
                </w:r>
              </w:p>
            </w:tc>
            <w:tc>
              <w:tcPr>
                <w:tcW w:w="1503" w:type="dxa"/>
              </w:tcPr>
              <w:p w14:paraId="6E7892CD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304082948</w:t>
                </w:r>
              </w:p>
            </w:tc>
            <w:tc>
              <w:tcPr>
                <w:tcW w:w="4395" w:type="dxa"/>
              </w:tcPr>
              <w:p w14:paraId="6E7892CE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Zarasų miesto Vietos plėtros strategijos parengimas</w:t>
                </w:r>
              </w:p>
            </w:tc>
            <w:tc>
              <w:tcPr>
                <w:tcW w:w="1701" w:type="dxa"/>
              </w:tcPr>
              <w:p w14:paraId="6E7892CF" w14:textId="77777777" w:rsidR="009C7B2A" w:rsidRDefault="00CE6FF2">
                <w:pPr>
                  <w:spacing w:line="276" w:lineRule="auto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3 996,00</w:t>
                </w:r>
              </w:p>
            </w:tc>
            <w:tc>
              <w:tcPr>
                <w:tcW w:w="1559" w:type="dxa"/>
              </w:tcPr>
              <w:p w14:paraId="6E7892D0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3.672,00</w:t>
                </w:r>
              </w:p>
            </w:tc>
            <w:tc>
              <w:tcPr>
                <w:tcW w:w="1559" w:type="dxa"/>
              </w:tcPr>
              <w:p w14:paraId="6E7892D1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324,00</w:t>
                </w:r>
              </w:p>
            </w:tc>
          </w:tr>
          <w:tr w:rsidR="009C7B2A" w14:paraId="6E7892DB" w14:textId="77777777">
            <w:tc>
              <w:tcPr>
                <w:tcW w:w="567" w:type="dxa"/>
              </w:tcPr>
              <w:p w14:paraId="6E7892D3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2.</w:t>
                </w:r>
              </w:p>
            </w:tc>
            <w:tc>
              <w:tcPr>
                <w:tcW w:w="1418" w:type="dxa"/>
              </w:tcPr>
              <w:p w14:paraId="6E7892D4" w14:textId="77777777" w:rsidR="009C7B2A" w:rsidRDefault="00CE6FF2">
                <w:pPr>
                  <w:spacing w:line="276" w:lineRule="auto"/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08.6.1-ESFA-T-909-02-0009</w:t>
                </w:r>
              </w:p>
            </w:tc>
            <w:tc>
              <w:tcPr>
                <w:tcW w:w="1757" w:type="dxa"/>
              </w:tcPr>
              <w:p w14:paraId="6E7892D5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Rietavo miesto vietos veiklos grupė</w:t>
                </w:r>
              </w:p>
            </w:tc>
            <w:tc>
              <w:tcPr>
                <w:tcW w:w="1503" w:type="dxa"/>
              </w:tcPr>
              <w:p w14:paraId="6E7892D6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304076404</w:t>
                </w:r>
              </w:p>
            </w:tc>
            <w:tc>
              <w:tcPr>
                <w:tcW w:w="4395" w:type="dxa"/>
              </w:tcPr>
              <w:p w14:paraId="6E7892D7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Rietavo miesto plėtros strategijos parengimas</w:t>
                </w:r>
              </w:p>
            </w:tc>
            <w:tc>
              <w:tcPr>
                <w:tcW w:w="1701" w:type="dxa"/>
              </w:tcPr>
              <w:p w14:paraId="6E7892D8" w14:textId="77777777" w:rsidR="009C7B2A" w:rsidRDefault="00CE6FF2">
                <w:pPr>
                  <w:spacing w:line="276" w:lineRule="auto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3 996,00</w:t>
                </w:r>
              </w:p>
            </w:tc>
            <w:tc>
              <w:tcPr>
                <w:tcW w:w="1559" w:type="dxa"/>
              </w:tcPr>
              <w:p w14:paraId="6E7892D9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3.672,00</w:t>
                </w:r>
              </w:p>
            </w:tc>
            <w:tc>
              <w:tcPr>
                <w:tcW w:w="1559" w:type="dxa"/>
              </w:tcPr>
              <w:p w14:paraId="6E7892DA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324,00</w:t>
                </w:r>
              </w:p>
            </w:tc>
          </w:tr>
          <w:tr w:rsidR="009C7B2A" w14:paraId="6E7892E4" w14:textId="77777777">
            <w:tc>
              <w:tcPr>
                <w:tcW w:w="567" w:type="dxa"/>
              </w:tcPr>
              <w:p w14:paraId="6E7892DC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3.</w:t>
                </w:r>
              </w:p>
            </w:tc>
            <w:tc>
              <w:tcPr>
                <w:tcW w:w="1418" w:type="dxa"/>
              </w:tcPr>
              <w:p w14:paraId="6E7892DD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08.6.1-ESFA-T-909-02-0010</w:t>
                </w:r>
              </w:p>
            </w:tc>
            <w:tc>
              <w:tcPr>
                <w:tcW w:w="1757" w:type="dxa"/>
              </w:tcPr>
              <w:p w14:paraId="6E7892DE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Naujosios Akmenės miesto vietos veiklos grupė</w:t>
                </w:r>
              </w:p>
            </w:tc>
            <w:tc>
              <w:tcPr>
                <w:tcW w:w="1503" w:type="dxa"/>
              </w:tcPr>
              <w:p w14:paraId="6E7892DF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304142014</w:t>
                </w:r>
              </w:p>
            </w:tc>
            <w:tc>
              <w:tcPr>
                <w:tcW w:w="4395" w:type="dxa"/>
              </w:tcPr>
              <w:p w14:paraId="6E7892E0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 xml:space="preserve">Naujosios Akmenės miesto </w:t>
                </w:r>
                <w:r>
                  <w:rPr>
                    <w:rFonts w:eastAsia="Calibri"/>
                    <w:color w:val="000000"/>
                    <w:sz w:val="22"/>
                    <w:szCs w:val="22"/>
                    <w:lang w:eastAsia="lt-LT"/>
                  </w:rPr>
                  <w:t>vietos veiklos grupės vietos plėtros strategijos parengimas</w:t>
                </w:r>
              </w:p>
            </w:tc>
            <w:tc>
              <w:tcPr>
                <w:tcW w:w="1701" w:type="dxa"/>
              </w:tcPr>
              <w:p w14:paraId="6E7892E1" w14:textId="77777777" w:rsidR="009C7B2A" w:rsidRDefault="00CE6FF2">
                <w:pPr>
                  <w:spacing w:line="276" w:lineRule="auto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3 986,77</w:t>
                </w:r>
              </w:p>
            </w:tc>
            <w:tc>
              <w:tcPr>
                <w:tcW w:w="1559" w:type="dxa"/>
              </w:tcPr>
              <w:p w14:paraId="6E7892E2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3663,52</w:t>
                </w:r>
              </w:p>
            </w:tc>
            <w:tc>
              <w:tcPr>
                <w:tcW w:w="1559" w:type="dxa"/>
              </w:tcPr>
              <w:p w14:paraId="6E7892E3" w14:textId="77777777" w:rsidR="009C7B2A" w:rsidRDefault="00CE6FF2">
                <w:pPr>
                  <w:spacing w:line="276" w:lineRule="auto"/>
                  <w:jc w:val="both"/>
                  <w:rPr>
                    <w:rFonts w:eastAsia="Calibri"/>
                    <w:sz w:val="22"/>
                    <w:szCs w:val="22"/>
                  </w:rPr>
                </w:pPr>
                <w:r>
                  <w:rPr>
                    <w:rFonts w:eastAsia="Calibri"/>
                    <w:sz w:val="22"/>
                    <w:szCs w:val="22"/>
                  </w:rPr>
                  <w:t>323,25</w:t>
                </w:r>
              </w:p>
            </w:tc>
          </w:tr>
        </w:tbl>
        <w:p w14:paraId="6E7892E5" w14:textId="77777777" w:rsidR="009C7B2A" w:rsidRDefault="009C7B2A">
          <w:pPr>
            <w:jc w:val="both"/>
            <w:rPr>
              <w:rFonts w:eastAsia="Calibri"/>
              <w:szCs w:val="24"/>
            </w:rPr>
          </w:pPr>
        </w:p>
        <w:p w14:paraId="6E7892E6" w14:textId="77777777" w:rsidR="009C7B2A" w:rsidRDefault="009C7B2A"/>
        <w:p w14:paraId="6E7892E7" w14:textId="762C901E" w:rsidR="009C7B2A" w:rsidRDefault="00CE6FF2">
          <w:pPr>
            <w:spacing w:after="200" w:line="276" w:lineRule="auto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__________________________</w:t>
          </w:r>
        </w:p>
        <w:bookmarkEnd w:id="0" w:displacedByCustomXml="next"/>
      </w:sdtContent>
    </w:sdt>
    <w:sectPr w:rsidR="009C7B2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commentsExtended.xml><?xml version="1.0" encoding="utf-8"?>
<w15:commentsEx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C9A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892EB" w14:textId="77777777" w:rsidR="009C7B2A" w:rsidRDefault="00CE6FF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E7892EC" w14:textId="77777777" w:rsidR="009C7B2A" w:rsidRDefault="00CE6FF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2EF" w14:textId="77777777" w:rsidR="009C7B2A" w:rsidRDefault="009C7B2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2F0" w14:textId="77777777" w:rsidR="009C7B2A" w:rsidRDefault="009C7B2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2F2" w14:textId="77777777" w:rsidR="009C7B2A" w:rsidRDefault="009C7B2A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92E9" w14:textId="77777777" w:rsidR="009C7B2A" w:rsidRDefault="00CE6FF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E7892EA" w14:textId="77777777" w:rsidR="009C7B2A" w:rsidRDefault="00CE6FF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2ED" w14:textId="77777777" w:rsidR="009C7B2A" w:rsidRDefault="009C7B2A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2EE" w14:textId="77777777" w:rsidR="009C7B2A" w:rsidRDefault="009C7B2A">
    <w:pPr>
      <w:tabs>
        <w:tab w:val="center" w:pos="4819"/>
        <w:tab w:val="right" w:pos="9638"/>
      </w:tabs>
      <w:jc w:val="center"/>
      <w:rPr>
        <w:rFonts w:eastAsia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2F1" w14:textId="77777777" w:rsidR="009C7B2A" w:rsidRDefault="009C7B2A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Žemaitė">
    <w15:presenceInfo w15:providerId="AD" w15:userId="S-1-5-21-4209697224-3871758227-447121003-12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5"/>
    <w:rsid w:val="001E11C5"/>
    <w:rsid w:val="009C7B2A"/>
    <w:rsid w:val="00C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78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E6F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6FF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E6F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E6F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E6FF2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CE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2351E5E-E02A-4DB7-B07E-837D0FC4DE6F}"/>
      </w:docPartPr>
      <w:docPartBody>
        <w:p w14:paraId="1E0E63A9" w14:textId="4B81AE6F" w:rsidR="00000000" w:rsidRDefault="007502FD">
          <w:r w:rsidRPr="001134AB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FD"/>
    <w:rsid w:val="007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02F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02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19c24468a354569b99409eae5701ad3" PartId="9ffe361a2f3c4e4598188fd52dd29886">
    <Part Type="preambule" DocPartId="bd5e05f8634d43a6aaceb7a9340fa632" PartId="db17df6c16f64d3bb624b8f2912df4fd"/>
    <Part Type="punktas" Nr="1" Abbr="1 p." DocPartId="79cd3f4223764d79a3dff6ec563b2236" PartId="34d8e260b0234fc398bd60ec5eae0a9e"/>
    <Part Type="punktas" Nr="2" Abbr="2 p." DocPartId="a5a67d502cb34bdd92c324b21f16b8f6" PartId="856f9a0a0de349e1aaf8a7f398d7ab6a"/>
    <Part Type="signatura" DocPartId="4acc119e5b0b4e2f93b282fa14cfe3fd" PartId="b9af7df0945446748ddca4d87200321b"/>
  </Part>
  <Part Type="priedas" Nr="" Abbr="" Title="" Notes="" DocPartId="50b0ed5a35f6471d99f96fdd7879b739" PartId="d96011f02c324d909fb7b5a7dc86c459"/>
</Parts>
</file>

<file path=customXml/itemProps1.xml><?xml version="1.0" encoding="utf-8"?>
<ds:datastoreItem xmlns:ds="http://schemas.openxmlformats.org/officeDocument/2006/customXml" ds:itemID="{220E8813-7542-4FC2-88BD-5F061277C3FD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Tamulevičiūtė</dc:creator>
  <cp:lastModifiedBy>GRUNDAITĖ Aistė</cp:lastModifiedBy>
  <cp:revision>3</cp:revision>
  <cp:lastPrinted>2016-01-13T08:02:00Z</cp:lastPrinted>
  <dcterms:created xsi:type="dcterms:W3CDTF">2016-01-21T07:58:00Z</dcterms:created>
  <dcterms:modified xsi:type="dcterms:W3CDTF">2016-01-21T08:31:00Z</dcterms:modified>
</cp:coreProperties>
</file>