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90D177F" wp14:editId="364B413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VIETOS SAVIVALDOS ĮSTATYMO NR. I-533  16 IR 29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lapkričio 20 d. Nr. XIII-1664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16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16 straipsnio 3 dalies 9 punktą.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29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29 straipsnio 8 dalies 7 punktą ir jį išdėstyti taip: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7</w:t>
      </w:r>
      <w:r>
        <w:rPr>
          <w:bCs/>
          <w:szCs w:val="24"/>
        </w:rPr>
        <w:t>) koordinuoja ir kontroliuoja viešąsias paslaugas teikiančių subjektų darbą,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įgyvendina juridinio asmens dalyvio turtines ir neturtines teises bei pareigas ir atlieka kitas pagal įstatymus ir savivaldybės tarybos sprendimus jam priskirtas savivaldybės juridinių asmenų valdymo funkcijas;“.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2019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723</Characters>
  <Application>Microsoft Office Word</Application>
  <DocSecurity>4</DocSecurity>
  <Lines>30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818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2018-11-28T06:33:00Z</dcterms:created>
  <dc:creator>MANIUŠKIENĖ Violeta</dc:creator>
  <lastModifiedBy>adlibuser</lastModifiedBy>
  <lastPrinted>2004-12-10T05:45:00Z</lastPrinted>
  <dcterms:modified xsi:type="dcterms:W3CDTF">2018-11-28T06:33:00Z</dcterms:modified>
  <revision>2</revision>
</coreProperties>
</file>