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EE9D82" w14:textId="49AAA6CF" w:rsidR="00B77D3C" w:rsidRDefault="004F635F" w:rsidP="004F635F">
      <w:pPr>
        <w:tabs>
          <w:tab w:val="center" w:pos="4986"/>
          <w:tab w:val="right" w:pos="9972"/>
        </w:tabs>
        <w:jc w:val="center"/>
        <w:rPr>
          <w:sz w:val="20"/>
          <w:lang w:val="en-US" w:eastAsia="ar-SA"/>
        </w:rPr>
      </w:pPr>
      <w:r>
        <w:rPr>
          <w:noProof/>
          <w:lang w:eastAsia="lt-LT"/>
        </w:rPr>
        <w:drawing>
          <wp:inline distT="0" distB="0" distL="0" distR="0" wp14:anchorId="1AEE9DBC" wp14:editId="1AEE9DBD">
            <wp:extent cx="5238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E9D83" w14:textId="77777777" w:rsidR="00B77D3C" w:rsidRDefault="00B77D3C">
      <w:pPr>
        <w:suppressAutoHyphens/>
        <w:jc w:val="center"/>
        <w:rPr>
          <w:b/>
          <w:lang w:val="en-US" w:eastAsia="ar-SA"/>
        </w:rPr>
      </w:pPr>
    </w:p>
    <w:p w14:paraId="1AEE9D84" w14:textId="77777777" w:rsidR="00B77D3C" w:rsidRDefault="004F635F">
      <w:pPr>
        <w:keepNext/>
        <w:suppressAutoHyphens/>
        <w:jc w:val="center"/>
        <w:rPr>
          <w:b/>
          <w:lang w:val="de-DE" w:eastAsia="ar-SA"/>
        </w:rPr>
      </w:pPr>
      <w:r>
        <w:rPr>
          <w:b/>
          <w:lang w:val="de-DE" w:eastAsia="ar-SA"/>
        </w:rPr>
        <w:t>LIETUVOS GEOLOGIJOS TARNYBOS</w:t>
      </w:r>
    </w:p>
    <w:p w14:paraId="1AEE9D85" w14:textId="730B5700" w:rsidR="00B77D3C" w:rsidRDefault="004F635F">
      <w:pPr>
        <w:suppressAutoHyphens/>
        <w:jc w:val="center"/>
        <w:rPr>
          <w:b/>
          <w:lang w:val="de-DE" w:eastAsia="ar-SA"/>
        </w:rPr>
      </w:pPr>
      <w:r>
        <w:rPr>
          <w:b/>
          <w:bCs/>
          <w:lang w:val="de-DE" w:eastAsia="ar-SA"/>
        </w:rPr>
        <w:t>PRIE APLINKOS MINISTERIJOS</w:t>
      </w:r>
    </w:p>
    <w:p w14:paraId="1AEE9D86" w14:textId="77777777" w:rsidR="00B77D3C" w:rsidRDefault="004F635F">
      <w:pPr>
        <w:suppressAutoHyphens/>
        <w:jc w:val="center"/>
        <w:rPr>
          <w:b/>
          <w:lang w:val="de-DE" w:eastAsia="ar-SA"/>
        </w:rPr>
      </w:pPr>
      <w:r>
        <w:rPr>
          <w:b/>
          <w:lang w:val="de-DE" w:eastAsia="ar-SA"/>
        </w:rPr>
        <w:t>DIREKTORIUS</w:t>
      </w:r>
    </w:p>
    <w:p w14:paraId="3D529C58" w14:textId="77777777" w:rsidR="00B77D3C" w:rsidRDefault="00B77D3C">
      <w:pPr>
        <w:suppressAutoHyphens/>
        <w:jc w:val="center"/>
        <w:rPr>
          <w:b/>
          <w:lang w:eastAsia="ar-SA"/>
        </w:rPr>
      </w:pPr>
    </w:p>
    <w:p w14:paraId="1AEE9D88" w14:textId="77777777" w:rsidR="00B77D3C" w:rsidRDefault="004F635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ĮSAKYMAS</w:t>
      </w:r>
    </w:p>
    <w:p w14:paraId="111640E0" w14:textId="77777777" w:rsidR="00B77D3C" w:rsidRDefault="004F635F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 LIETUVOS GEOLOGIJOS TARNYBOS PRIE APLINKOS MINISTERIJOS DIREKTORIAUS 2008 M. BIRŽELIO 17 D. ĮSAKYMO „</w:t>
      </w:r>
      <w:r>
        <w:rPr>
          <w:b/>
          <w:bCs/>
          <w:caps/>
          <w:color w:val="000000"/>
          <w:szCs w:val="24"/>
        </w:rPr>
        <w:t>Dėl Ekogeologinių tyrimų reglamento patvirtinimo“ PAKEITIMO</w:t>
      </w:r>
    </w:p>
    <w:p w14:paraId="1DC393D7" w14:textId="77777777" w:rsidR="00B77D3C" w:rsidRDefault="00B77D3C">
      <w:pPr>
        <w:suppressAutoHyphens/>
        <w:snapToGrid w:val="0"/>
        <w:jc w:val="center"/>
        <w:rPr>
          <w:b/>
          <w:bCs/>
          <w:szCs w:val="24"/>
          <w:lang w:eastAsia="ar-SA"/>
        </w:rPr>
      </w:pPr>
    </w:p>
    <w:p w14:paraId="1AEE9D8C" w14:textId="77777777" w:rsidR="00B77D3C" w:rsidRDefault="004F635F">
      <w:pPr>
        <w:suppressAutoHyphens/>
        <w:jc w:val="center"/>
        <w:rPr>
          <w:lang w:eastAsia="ar-SA"/>
        </w:rPr>
      </w:pPr>
      <w:r>
        <w:rPr>
          <w:lang w:eastAsia="ar-SA"/>
        </w:rPr>
        <w:t>2017 m. birželio 6 d. Nr. 1-153</w:t>
      </w:r>
    </w:p>
    <w:p w14:paraId="1AEE9D8D" w14:textId="77777777" w:rsidR="00B77D3C" w:rsidRDefault="004F635F">
      <w:pPr>
        <w:suppressAutoHyphens/>
        <w:jc w:val="center"/>
        <w:rPr>
          <w:lang w:eastAsia="ar-SA"/>
        </w:rPr>
      </w:pPr>
      <w:r>
        <w:rPr>
          <w:lang w:eastAsia="ar-SA"/>
        </w:rPr>
        <w:t>Vilnius</w:t>
      </w:r>
    </w:p>
    <w:p w14:paraId="1AEE9D8F" w14:textId="77777777" w:rsidR="00B77D3C" w:rsidRDefault="00B77D3C">
      <w:pPr>
        <w:suppressAutoHyphens/>
        <w:jc w:val="center"/>
        <w:rPr>
          <w:lang w:eastAsia="ar-SA"/>
        </w:rPr>
      </w:pPr>
    </w:p>
    <w:p w14:paraId="1AEE9D90" w14:textId="77777777" w:rsidR="00B77D3C" w:rsidRDefault="00B77D3C">
      <w:pPr>
        <w:suppressAutoHyphens/>
        <w:jc w:val="center"/>
        <w:rPr>
          <w:lang w:eastAsia="ar-SA"/>
        </w:rPr>
      </w:pPr>
    </w:p>
    <w:p w14:paraId="1AEE9D91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P a k e i č i u  Ekogeologinių tyrimų reglamentą, </w:t>
      </w:r>
      <w:r>
        <w:rPr>
          <w:spacing w:val="-2"/>
          <w:szCs w:val="24"/>
          <w:lang w:eastAsia="ar-SA"/>
        </w:rPr>
        <w:t xml:space="preserve">patvirtintą Lietuvos geologijos tarnybos prie Aplinkos ministerijos direktoriaus </w:t>
      </w:r>
      <w:smartTag w:uri="schemas-tilde-lv/tildestengine" w:element="metric2">
        <w:smartTagPr>
          <w:attr w:name="metric_text" w:val="m"/>
          <w:attr w:name="metric_value" w:val="2008"/>
        </w:smartTagPr>
        <w:r>
          <w:rPr>
            <w:spacing w:val="-2"/>
            <w:szCs w:val="24"/>
            <w:lang w:eastAsia="ar-SA"/>
          </w:rPr>
          <w:t>2008 m</w:t>
        </w:r>
      </w:smartTag>
      <w:r>
        <w:rPr>
          <w:spacing w:val="-2"/>
          <w:szCs w:val="24"/>
          <w:lang w:eastAsia="ar-SA"/>
        </w:rPr>
        <w:t xml:space="preserve">. birželio 17 d. įsakymu </w:t>
      </w:r>
      <w:r>
        <w:rPr>
          <w:szCs w:val="24"/>
          <w:lang w:eastAsia="ar-SA"/>
        </w:rPr>
        <w:t>Nr. 1-104</w:t>
      </w:r>
      <w:r>
        <w:rPr>
          <w:spacing w:val="-2"/>
          <w:szCs w:val="24"/>
          <w:lang w:eastAsia="ar-SA"/>
        </w:rPr>
        <w:t xml:space="preserve"> „Dėl Ekogeologinių tyrimų reglamento patvirtinimo</w:t>
      </w:r>
      <w:r>
        <w:rPr>
          <w:szCs w:val="24"/>
          <w:lang w:eastAsia="ar-SA"/>
        </w:rPr>
        <w:t>“ :</w:t>
      </w:r>
    </w:p>
    <w:p w14:paraId="1AEE9D92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1</w:t>
      </w:r>
      <w:r w:rsidR="004F635F">
        <w:rPr>
          <w:szCs w:val="24"/>
          <w:lang w:eastAsia="ar-SA"/>
        </w:rPr>
        <w:t>. Pakeičiu 2 punktą ir išdėstau jį taip:</w:t>
      </w:r>
    </w:p>
    <w:p w14:paraId="1AEE9D93" w14:textId="77777777" w:rsidR="00B77D3C" w:rsidRDefault="004F635F">
      <w:pPr>
        <w:widowControl w:val="0"/>
        <w:suppressAutoHyphens/>
        <w:ind w:firstLine="567"/>
        <w:jc w:val="both"/>
        <w:rPr>
          <w:szCs w:val="24"/>
          <w:lang w:eastAsia="ar-SA"/>
        </w:rPr>
      </w:pPr>
      <w:r>
        <w:rPr>
          <w:color w:val="000000"/>
          <w:spacing w:val="-2"/>
          <w:szCs w:val="24"/>
          <w:lang w:eastAsia="lt-LT"/>
        </w:rPr>
        <w:t>„</w:t>
      </w:r>
      <w:r>
        <w:rPr>
          <w:color w:val="000000"/>
          <w:spacing w:val="-2"/>
          <w:szCs w:val="24"/>
          <w:lang w:eastAsia="lt-LT"/>
        </w:rPr>
        <w:t>2</w:t>
      </w:r>
      <w:r>
        <w:rPr>
          <w:color w:val="000000"/>
          <w:spacing w:val="-2"/>
          <w:szCs w:val="24"/>
          <w:lang w:eastAsia="lt-LT"/>
        </w:rPr>
        <w:t xml:space="preserve">. Reglamento nuostatos yra susijusios su 2004 m. balandžio 21 d. Europos Parlamento ir Tarybos direktyvos 2004/35/ET dėl atsakomybės už aplinkos apsaugą siekiant išvengti žalos aplinkai ir ją ištaisyti (atlyginti), 2000 m. spalio 23 d. Europos Sąjungos Parlamento ir Tarybos direktyvos 2000/60/EB, nustatančios Bendrijos veiksmus vandens politikos srityje pagrindus, 2006 m. gruodžio 12 d. Europos Sąjungos Parlamento ir Tarybos direktyvos 2006/118/EB dėl požeminio vandens apsaugos nuo taršos ir jo būklės blogėjimo, 2007 m. lapkričio 13 d. Europos </w:t>
      </w:r>
      <w:r>
        <w:rPr>
          <w:caps/>
          <w:color w:val="000000"/>
          <w:spacing w:val="-2"/>
          <w:szCs w:val="24"/>
          <w:lang w:eastAsia="lt-LT"/>
        </w:rPr>
        <w:t>p</w:t>
      </w:r>
      <w:r>
        <w:rPr>
          <w:color w:val="000000"/>
          <w:spacing w:val="-2"/>
          <w:szCs w:val="24"/>
          <w:lang w:eastAsia="lt-LT"/>
        </w:rPr>
        <w:t>arlamento rezoliucijos dėl dirvožemio apsaugos teminės strategijos (2006/2293(INI)) bei 2010 m. lapkričio 24 d. Europos Parlamento ir Tarybos direktyvos 2010/75/ES dėl pramoninių išmetamų teršalų (taršos integruotos prevencijos ir kontrolės) įgyvendinimu.“.</w:t>
      </w:r>
      <w:r>
        <w:rPr>
          <w:szCs w:val="24"/>
          <w:lang w:eastAsia="ar-SA"/>
        </w:rPr>
        <w:t xml:space="preserve"> </w:t>
      </w:r>
    </w:p>
    <w:p w14:paraId="1AEE9D94" w14:textId="77777777" w:rsidR="00B77D3C" w:rsidRDefault="000F54A1">
      <w:pPr>
        <w:widowControl w:val="0"/>
        <w:suppressAutoHyphens/>
        <w:ind w:firstLine="567"/>
        <w:jc w:val="both"/>
        <w:rPr>
          <w:strike/>
          <w:szCs w:val="24"/>
          <w:lang w:eastAsia="ar-SA"/>
        </w:rPr>
      </w:pPr>
      <w:r w:rsidR="004F635F">
        <w:rPr>
          <w:szCs w:val="24"/>
          <w:lang w:eastAsia="ar-SA"/>
        </w:rPr>
        <w:t>2</w:t>
      </w:r>
      <w:r w:rsidR="004F635F">
        <w:rPr>
          <w:szCs w:val="24"/>
          <w:lang w:eastAsia="ar-SA"/>
        </w:rPr>
        <w:t>. Pakeičiu 4 punktą ir išdėstau jį taip:</w:t>
      </w:r>
    </w:p>
    <w:p w14:paraId="1AEE9D95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4</w:t>
      </w:r>
      <w:r>
        <w:rPr>
          <w:szCs w:val="24"/>
          <w:lang w:eastAsia="ar-SA"/>
        </w:rPr>
        <w:t>. Reglamento nuostatos privalomos asmenims nurodytiems Cheminėmis medžiagomis užterštų teritorijų tvarkymo aplinkos apsaugos reikalavimų, patvirtintų Lietuvos Respublikos aplinkos ministro 2008 m. balandžio 30 d. įsakymu Nr. D1-230 „Dėl Cheminėmis medžiagomis užterštų teritorijų tvarkymo aplinkos apsaugos reikalavimų patvirtinimo“, 5 punkte.“.</w:t>
      </w:r>
    </w:p>
    <w:p w14:paraId="1AEE9D96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3</w:t>
      </w:r>
      <w:r w:rsidR="004F635F">
        <w:rPr>
          <w:szCs w:val="24"/>
          <w:lang w:eastAsia="ar-SA"/>
        </w:rPr>
        <w:t>. Pakeičiu 6 punktą ir išdėstau jį taip:</w:t>
      </w:r>
    </w:p>
    <w:p w14:paraId="1AEE9D97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6</w:t>
      </w:r>
      <w:r>
        <w:rPr>
          <w:szCs w:val="24"/>
          <w:lang w:eastAsia="ar-SA"/>
        </w:rPr>
        <w:t>. Ekogeologinį tyrimą, nustatyta tvarka užregistruotą Žemės gelmių registre [7.2], gali vykdyti tik juridiniai ir fiziniai asmenys ir šių asmenų grupės, veikiančios pagal jungtinės veiklos sutartis, turintys leidimą tirti žemės gelmes šiai tyrimo rūšiai – ekogeologinis tyrimas [7.3], o chemines analizes gali atlikti tik laboratorija, turinti tam leidimą [7.9].“.</w:t>
      </w:r>
    </w:p>
    <w:p w14:paraId="1AEE9D98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4</w:t>
      </w:r>
      <w:r w:rsidR="004F635F">
        <w:rPr>
          <w:szCs w:val="24"/>
          <w:lang w:eastAsia="ar-SA"/>
        </w:rPr>
        <w:t>. Pakeičiu 7.7 papunktį ir išdėstau jį taip:</w:t>
      </w:r>
    </w:p>
    <w:p w14:paraId="1AEE9D99" w14:textId="77777777" w:rsidR="00B77D3C" w:rsidRDefault="004F63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7.7</w:t>
      </w:r>
      <w:r>
        <w:rPr>
          <w:szCs w:val="24"/>
          <w:lang w:eastAsia="lt-LT"/>
        </w:rPr>
        <w:t xml:space="preserve">. Taršos integruotos prevencijos ir kontrolės leidimų išdavimo, pakeitimo ir galiojimo panaikinimo taisyklėmis, patvirtintomis 2013 m. liepos 15 d. Lietuvos Respublikos aplinkos ministro įsakymu </w:t>
      </w:r>
      <w:r>
        <w:rPr>
          <w:iCs/>
          <w:color w:val="000000"/>
          <w:szCs w:val="24"/>
          <w:lang w:eastAsia="lt-LT"/>
        </w:rPr>
        <w:t>Nr. D1-528</w:t>
      </w:r>
      <w:r>
        <w:rPr>
          <w:szCs w:val="24"/>
          <w:lang w:eastAsia="lt-LT"/>
        </w:rPr>
        <w:t xml:space="preserve"> „Dėl Taršos integruotos prevencijos ir kontrolės leidimų išdavimo, pakeitimo ir galiojimo panaikinimo taisyklių patvirtinimo“;“.</w:t>
      </w:r>
    </w:p>
    <w:p w14:paraId="1AEE9D9A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5</w:t>
      </w:r>
      <w:r w:rsidR="004F635F">
        <w:rPr>
          <w:szCs w:val="24"/>
          <w:lang w:eastAsia="ar-SA"/>
        </w:rPr>
        <w:t>. Pakeičiu 7.11 papunktį ir išdėstau jį taip:</w:t>
      </w:r>
    </w:p>
    <w:p w14:paraId="1AEE9D9B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7.11</w:t>
      </w:r>
      <w:r>
        <w:rPr>
          <w:szCs w:val="24"/>
          <w:lang w:eastAsia="ar-SA"/>
        </w:rPr>
        <w:t>. Požeminio vandens vandenviečių apsaugos zonų nustatymo tvarkos aprašu patvirtintu Lietuvos Respublikos aplinkos ministro 2015 m. gruodžio 14 d. įsakymu Nr. D1-912 „Dėl Požeminio vandens vandenviečių apsaugos zonų nustatymo tvarkos aprašo patvirtinimo“;“.</w:t>
      </w:r>
    </w:p>
    <w:p w14:paraId="1AEE9D9C" w14:textId="77777777" w:rsidR="00B77D3C" w:rsidRDefault="000F54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 w:rsidR="004F635F">
        <w:rPr>
          <w:szCs w:val="24"/>
          <w:lang w:eastAsia="lt-LT"/>
        </w:rPr>
        <w:t>6</w:t>
      </w:r>
      <w:r w:rsidR="004F635F">
        <w:rPr>
          <w:szCs w:val="24"/>
          <w:lang w:eastAsia="lt-LT"/>
        </w:rPr>
        <w:t>. Pakeičiu 22.2.1 papunktį ir išdėstau jį taip:</w:t>
      </w:r>
    </w:p>
    <w:p w14:paraId="1AEE9D9D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22.2.1</w:t>
      </w:r>
      <w:r>
        <w:rPr>
          <w:szCs w:val="24"/>
          <w:lang w:eastAsia="ar-SA"/>
        </w:rPr>
        <w:t xml:space="preserve"> sunkiųjų metalų Pb, Cd, Cr, Cu, Ni, Zn kiekiai (TMP – ekstrahuojant dirvožemį karališkuoju vandeniu </w:t>
      </w:r>
      <w:r>
        <w:rPr>
          <w:iCs/>
          <w:szCs w:val="24"/>
          <w:lang w:eastAsia="ar-SA"/>
        </w:rPr>
        <w:t>(</w:t>
      </w:r>
      <w:r>
        <w:rPr>
          <w:i/>
          <w:iCs/>
          <w:szCs w:val="24"/>
          <w:lang w:eastAsia="ar-SA"/>
        </w:rPr>
        <w:t>Aqua regia</w:t>
      </w:r>
      <w:r>
        <w:rPr>
          <w:iCs/>
          <w:szCs w:val="24"/>
          <w:lang w:eastAsia="ar-SA"/>
        </w:rPr>
        <w:t xml:space="preserve">) </w:t>
      </w:r>
      <w:r>
        <w:rPr>
          <w:szCs w:val="24"/>
          <w:lang w:eastAsia="ar-SA"/>
        </w:rPr>
        <w:t>ir analizuojant liepsnos ar elektroterminės atominės absorbcijos spektrometriniais metodais; M – ISO 11466, LST ISO 11047);“.</w:t>
      </w:r>
    </w:p>
    <w:p w14:paraId="1AEE9D9E" w14:textId="77777777" w:rsidR="00B77D3C" w:rsidRDefault="000F54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 w:rsidR="004F635F">
        <w:rPr>
          <w:szCs w:val="24"/>
          <w:lang w:eastAsia="lt-LT"/>
        </w:rPr>
        <w:t>7</w:t>
      </w:r>
      <w:r w:rsidR="004F635F">
        <w:rPr>
          <w:szCs w:val="24"/>
          <w:lang w:eastAsia="lt-LT"/>
        </w:rPr>
        <w:t>. Pakeičiu 27.1 papunktį ir išdėstau jį taip:</w:t>
      </w:r>
    </w:p>
    <w:p w14:paraId="1AEE9D9F" w14:textId="77777777" w:rsidR="00B77D3C" w:rsidRDefault="004F635F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pacing w:val="-2"/>
          <w:szCs w:val="24"/>
        </w:rPr>
        <w:t>27.1</w:t>
      </w:r>
      <w:r>
        <w:rPr>
          <w:color w:val="000000"/>
          <w:spacing w:val="-2"/>
          <w:szCs w:val="24"/>
        </w:rPr>
        <w:t xml:space="preserve"> užteršto dirvožemio, grunto ir (ar) vandens </w:t>
      </w:r>
      <w:r>
        <w:rPr>
          <w:spacing w:val="-2"/>
          <w:szCs w:val="24"/>
        </w:rPr>
        <w:t xml:space="preserve">kiekis </w:t>
      </w:r>
      <w:r>
        <w:rPr>
          <w:szCs w:val="24"/>
        </w:rPr>
        <w:t>apskaičiuotas kubiniais metrais ir tonomis</w:t>
      </w:r>
      <w:r>
        <w:rPr>
          <w:spacing w:val="-2"/>
          <w:szCs w:val="24"/>
        </w:rPr>
        <w:t xml:space="preserve">, </w:t>
      </w:r>
      <w:r>
        <w:rPr>
          <w:color w:val="000000"/>
          <w:spacing w:val="-2"/>
          <w:szCs w:val="24"/>
        </w:rPr>
        <w:t>atsižvelgiant į cheminių medžiagų ribines vertes, nurodytas Reikalavimų 3 priede, ir patikslintas ribines vertes, apskaičiuotas vadovaujantis Reikalavimų 4 priede pateiktomis lygtimis;“.</w:t>
      </w:r>
    </w:p>
    <w:p w14:paraId="1AEE9DA0" w14:textId="77777777" w:rsidR="00B77D3C" w:rsidRDefault="000F54A1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 w:rsidR="004F635F">
        <w:rPr>
          <w:color w:val="000000"/>
          <w:spacing w:val="-2"/>
          <w:szCs w:val="24"/>
        </w:rPr>
        <w:t>8</w:t>
      </w:r>
      <w:r w:rsidR="004F635F">
        <w:rPr>
          <w:color w:val="000000"/>
          <w:spacing w:val="-2"/>
          <w:szCs w:val="24"/>
        </w:rPr>
        <w:t>. Pakeičiu 28 punktą ir išdėstau jį taip:</w:t>
      </w:r>
    </w:p>
    <w:p w14:paraId="1AEE9DA1" w14:textId="77777777" w:rsidR="00B77D3C" w:rsidRDefault="004F635F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28</w:t>
      </w:r>
      <w:r>
        <w:rPr>
          <w:color w:val="000000"/>
          <w:szCs w:val="24"/>
        </w:rPr>
        <w:t xml:space="preserve">. Detaliųjų ekogeologinių tyrimų metu dirvožemio, grunto bandinių ėmimo vietų išdėstymas </w:t>
      </w:r>
      <w:r>
        <w:rPr>
          <w:szCs w:val="24"/>
        </w:rPr>
        <w:t xml:space="preserve">topografiniame </w:t>
      </w:r>
      <w:r>
        <w:rPr>
          <w:color w:val="000000"/>
          <w:szCs w:val="24"/>
        </w:rPr>
        <w:t>plane ir jų kiekis turi užtikrinti dirvožemio, grunto taršos arealo dydžio nustatymą, o vertikalia kryptimi – užteršto dirvožemio, grunto kiekio įvertinimą. Visais atvejais dirvožemio, grunto bandinys turi būti imamas laikantis sąlygos, nurodytos šio Reglamento 20 punkte. Tiriant ūkio objektus, priskirtus LAND 9–2009 [7.5] reguliavimo sričiai, bandiniai turi būti imami ir iš gilesnių žemės sluoksnių intervalų, nurodytų šiame normatyviniame dokumente.“.</w:t>
      </w:r>
    </w:p>
    <w:p w14:paraId="1AEE9DA2" w14:textId="77777777" w:rsidR="00B77D3C" w:rsidRDefault="000F54A1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 w:rsidR="004F635F">
        <w:rPr>
          <w:color w:val="000000"/>
          <w:szCs w:val="24"/>
        </w:rPr>
        <w:t>9</w:t>
      </w:r>
      <w:r w:rsidR="004F635F">
        <w:rPr>
          <w:color w:val="000000"/>
          <w:szCs w:val="24"/>
        </w:rPr>
        <w:t>. Pakeičiu 30 punktą ir išdėstau jį taip:</w:t>
      </w:r>
    </w:p>
    <w:p w14:paraId="1AEE9DA3" w14:textId="77777777" w:rsidR="00B77D3C" w:rsidRDefault="004F635F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30</w:t>
      </w:r>
      <w:r>
        <w:rPr>
          <w:szCs w:val="24"/>
          <w:lang w:eastAsia="ar-SA"/>
        </w:rPr>
        <w:t>. Dirvožemio, grunto ir vandens bandiniuose turi būti nustatomi tik būdingų tiriamajam objektui taršiųjų cheminių medžiagų bei jų skilimo (degradacijos) produktų kiekiai. Ūkio objektuose, kurių veikla yra reglamentuota LAND 9-2009 ir LAND 1-2003 [7.5, 7.8], bandiniuose nustatomi lengvųjų ir sunkiųjų angliavandenilių kiekiai bei aromatinių angliavandenilių, nurodytų šio Reglamento 23.2 papunktyje, koncentracijos.“.</w:t>
      </w:r>
    </w:p>
    <w:p w14:paraId="1AEE9DA4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10</w:t>
      </w:r>
      <w:r w:rsidR="004F635F">
        <w:rPr>
          <w:szCs w:val="24"/>
          <w:lang w:eastAsia="ar-SA"/>
        </w:rPr>
        <w:t>. Pakeičiu 34.6 papunktį ir išdėstau jį taip:</w:t>
      </w:r>
    </w:p>
    <w:p w14:paraId="1AEE9DA5" w14:textId="77777777" w:rsidR="00B77D3C" w:rsidRDefault="004F635F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34.6</w:t>
      </w:r>
      <w:r>
        <w:rPr>
          <w:color w:val="000000"/>
          <w:szCs w:val="24"/>
        </w:rPr>
        <w:t>. taršos rizikos poveikio žmogui ir (ar) ekosistemoms vertinimo rezultatai (</w:t>
      </w:r>
      <w:r>
        <w:rPr>
          <w:szCs w:val="24"/>
        </w:rPr>
        <w:t>topografiniai planai</w:t>
      </w:r>
      <w:r>
        <w:rPr>
          <w:color w:val="000000"/>
          <w:szCs w:val="24"/>
        </w:rPr>
        <w:t>, grafikai, lentelės);“.</w:t>
      </w:r>
    </w:p>
    <w:p w14:paraId="1AEE9DA6" w14:textId="77777777" w:rsidR="00B77D3C" w:rsidRDefault="000F54A1">
      <w:pPr>
        <w:suppressAutoHyphens/>
        <w:ind w:firstLine="567"/>
        <w:jc w:val="both"/>
        <w:rPr>
          <w:szCs w:val="24"/>
          <w:lang w:eastAsia="ar-SA"/>
        </w:rPr>
      </w:pPr>
      <w:r w:rsidR="004F635F">
        <w:rPr>
          <w:szCs w:val="24"/>
          <w:lang w:eastAsia="ar-SA"/>
        </w:rPr>
        <w:t>11</w:t>
      </w:r>
      <w:r w:rsidR="004F635F">
        <w:rPr>
          <w:szCs w:val="24"/>
          <w:lang w:eastAsia="ar-SA"/>
        </w:rPr>
        <w:t>. Pakeičiu 39 punktą ir išdėstau jį taip:</w:t>
      </w:r>
    </w:p>
    <w:p w14:paraId="1AEE9DA7" w14:textId="77777777" w:rsidR="00B77D3C" w:rsidRDefault="004F635F">
      <w:pPr>
        <w:suppressAutoHyphens/>
        <w:ind w:firstLine="567"/>
        <w:jc w:val="both"/>
        <w:rPr>
          <w:strike/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39</w:t>
      </w:r>
      <w:r>
        <w:rPr>
          <w:szCs w:val="24"/>
          <w:lang w:eastAsia="ar-SA"/>
        </w:rPr>
        <w:t>. Detalaus ekogeologinio tyrimo ataskaitos vertinamojoje išvadoje LGT, atsižvelgusi į joje pateiktus taršos rizikos vertinimo duomenis ir patikrinusi jų patikimumą, turi nurodyti, ar užterštos teritorijos tvarkymas yra būtinas, siekiant apsaugoti aplinką nuo taršos pasekmių.“.</w:t>
      </w:r>
    </w:p>
    <w:p w14:paraId="1AEE9DA8" w14:textId="77777777" w:rsidR="00B77D3C" w:rsidRDefault="000F54A1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</w:rPr>
      </w:pPr>
      <w:r w:rsidR="004F635F">
        <w:rPr>
          <w:color w:val="000000"/>
          <w:spacing w:val="-2"/>
          <w:szCs w:val="24"/>
        </w:rPr>
        <w:t>12</w:t>
      </w:r>
      <w:r w:rsidR="004F635F">
        <w:rPr>
          <w:color w:val="000000"/>
          <w:spacing w:val="-2"/>
          <w:szCs w:val="24"/>
        </w:rPr>
        <w:t>. Pakeičiu 45.1.2 papunktį ir išdėstau jį taip:</w:t>
      </w:r>
    </w:p>
    <w:p w14:paraId="1AEE9DA9" w14:textId="77777777" w:rsidR="00B77D3C" w:rsidRDefault="004F635F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-2"/>
          <w:szCs w:val="24"/>
        </w:rPr>
        <w:t>„</w:t>
      </w:r>
      <w:r>
        <w:rPr>
          <w:color w:val="000000"/>
          <w:szCs w:val="24"/>
        </w:rPr>
        <w:t>45.1.2</w:t>
      </w:r>
      <w:r>
        <w:rPr>
          <w:color w:val="000000"/>
          <w:szCs w:val="24"/>
        </w:rPr>
        <w:t xml:space="preserve">. ataskaitų, nurodytų šio Reglamento 33 ir 34 punktuose, santrauka, kurioje nurodomi teršalų tipai, jų kiekis </w:t>
      </w:r>
      <w:r>
        <w:rPr>
          <w:szCs w:val="24"/>
        </w:rPr>
        <w:t>(kubiniais metrais ir tonomis)</w:t>
      </w:r>
      <w:r>
        <w:rPr>
          <w:color w:val="000000"/>
          <w:szCs w:val="24"/>
        </w:rPr>
        <w:t xml:space="preserve"> ir pasiskirstymas, taršos paveikti aplinkos komponentai (receptoriai);“.</w:t>
      </w:r>
    </w:p>
    <w:p w14:paraId="1AEE9DAA" w14:textId="77777777" w:rsidR="00B77D3C" w:rsidRDefault="000F54A1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 w:rsidR="004F635F">
        <w:rPr>
          <w:color w:val="000000"/>
          <w:szCs w:val="24"/>
        </w:rPr>
        <w:t>13</w:t>
      </w:r>
      <w:r w:rsidR="004F635F">
        <w:rPr>
          <w:color w:val="000000"/>
          <w:szCs w:val="24"/>
        </w:rPr>
        <w:t>. Pakeičiu 45.2.2 papunktį ir išdėstau jį taip:</w:t>
      </w:r>
    </w:p>
    <w:p w14:paraId="1AEE9DAB" w14:textId="77777777" w:rsidR="00B77D3C" w:rsidRDefault="004F63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45.2.2</w:t>
      </w:r>
      <w:r>
        <w:rPr>
          <w:szCs w:val="24"/>
          <w:lang w:eastAsia="lt-LT"/>
        </w:rPr>
        <w:t>. topografinis planas, kuriame nurodomas užterštos teritorijos plotas ir valytino dirvožemio, grunto ir (ar) požeminio vandens kiekiai;“.</w:t>
      </w:r>
    </w:p>
    <w:p w14:paraId="1AEE9DAC" w14:textId="77777777" w:rsidR="00B77D3C" w:rsidRDefault="000F54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 w:rsidR="004F635F">
        <w:rPr>
          <w:szCs w:val="24"/>
          <w:lang w:eastAsia="lt-LT"/>
        </w:rPr>
        <w:t>14</w:t>
      </w:r>
      <w:r w:rsidR="004F635F">
        <w:rPr>
          <w:szCs w:val="24"/>
          <w:lang w:eastAsia="lt-LT"/>
        </w:rPr>
        <w:t>. Pakeičiu 45.2.6 papunktį ir išdėstau jį taip:</w:t>
      </w:r>
    </w:p>
    <w:p w14:paraId="1AEE9DAD" w14:textId="255769AA" w:rsidR="00B77D3C" w:rsidRDefault="000F54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 w:rsidR="004F635F">
        <w:rPr>
          <w:szCs w:val="24"/>
          <w:lang w:eastAsia="lt-LT"/>
        </w:rPr>
        <w:t>45.2.6</w:t>
      </w:r>
      <w:r w:rsidR="004F635F">
        <w:rPr>
          <w:szCs w:val="24"/>
          <w:lang w:eastAsia="lt-LT"/>
        </w:rPr>
        <w:t>. užterštos teritorijos tvarkymo metu</w:t>
      </w:r>
      <w:r w:rsidR="004F635F">
        <w:rPr>
          <w:b/>
          <w:szCs w:val="24"/>
          <w:lang w:eastAsia="lt-LT"/>
        </w:rPr>
        <w:t xml:space="preserve"> </w:t>
      </w:r>
      <w:r w:rsidR="004F635F">
        <w:rPr>
          <w:szCs w:val="24"/>
          <w:lang w:eastAsia="lt-LT"/>
        </w:rPr>
        <w:t>ir po sutvarkymo vykdomų kontrolinių tyrimų (numatant paimti mėginius iškasus užterštą gruntą iš iškasos sienų ir dugno bei iškasas užpylus švariu gruntu iš tvarkyto ploto) ir monitoringo darbų planas;</w:t>
      </w:r>
    </w:p>
    <w:p w14:paraId="1AEE9DAE" w14:textId="0E9D89BE" w:rsidR="00B77D3C" w:rsidRDefault="000F54A1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 w:rsidR="004F635F">
        <w:rPr>
          <w:color w:val="000000"/>
          <w:szCs w:val="24"/>
        </w:rPr>
        <w:t>15</w:t>
      </w:r>
      <w:r w:rsidR="004F635F">
        <w:rPr>
          <w:color w:val="000000"/>
          <w:szCs w:val="24"/>
        </w:rPr>
        <w:t>. Pakeičiu 46.2 papunktį ir išdėstau jį taip:</w:t>
      </w:r>
    </w:p>
    <w:p w14:paraId="1AEE9DAF" w14:textId="497A8163" w:rsidR="00B77D3C" w:rsidRDefault="004F635F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„</w:t>
      </w:r>
      <w:r>
        <w:rPr>
          <w:color w:val="000000"/>
          <w:szCs w:val="24"/>
        </w:rPr>
        <w:t>46.2</w:t>
      </w:r>
      <w:r>
        <w:rPr>
          <w:color w:val="000000"/>
          <w:szCs w:val="24"/>
        </w:rPr>
        <w:t>. teritorijos kampų ir centro koordinatės pagal valstybinę koordinačių sistemą LKS-94. Topografinis planas, kuriame turi būti aiškiai nurodyta tvarkytos užterštos teritorijos vieta;“.</w:t>
      </w:r>
    </w:p>
    <w:bookmarkStart w:id="0" w:name="_GoBack" w:displacedByCustomXml="prev"/>
    <w:bookmarkEnd w:id="0" w:displacedByCustomXml="prev"/>
    <w:p w14:paraId="1AEE9DB1" w14:textId="19D1AE1C" w:rsidR="00B77D3C" w:rsidRDefault="00B77D3C">
      <w:pPr>
        <w:suppressAutoHyphens/>
        <w:rPr>
          <w:lang w:eastAsia="ar-SA"/>
        </w:rPr>
      </w:pPr>
    </w:p>
    <w:p w14:paraId="18B3A80D" w14:textId="77777777" w:rsidR="004F635F" w:rsidRDefault="004F635F">
      <w:pPr>
        <w:suppressAutoHyphens/>
        <w:rPr>
          <w:lang w:eastAsia="ar-SA"/>
        </w:rPr>
      </w:pPr>
    </w:p>
    <w:p w14:paraId="1AEE9DB2" w14:textId="3973A6DF" w:rsidR="00B77D3C" w:rsidRDefault="00B77D3C">
      <w:pPr>
        <w:suppressAutoHyphens/>
        <w:rPr>
          <w:lang w:eastAsia="ar-SA"/>
        </w:rPr>
      </w:pPr>
    </w:p>
    <w:p w14:paraId="1AEE9DBB" w14:textId="2044454D" w:rsidR="00B77D3C" w:rsidRDefault="004F635F" w:rsidP="004F635F">
      <w:pPr>
        <w:tabs>
          <w:tab w:val="left" w:pos="7230"/>
        </w:tabs>
        <w:suppressAutoHyphens/>
        <w:snapToGrid w:val="0"/>
        <w:rPr>
          <w:sz w:val="20"/>
          <w:lang w:eastAsia="ar-SA"/>
        </w:rPr>
      </w:pPr>
      <w:r>
        <w:rPr>
          <w:lang w:eastAsia="ar-SA"/>
        </w:rPr>
        <w:t>Direktorius</w:t>
      </w:r>
      <w:r>
        <w:rPr>
          <w:lang w:eastAsia="ar-SA"/>
        </w:rPr>
        <w:tab/>
        <w:t>Jonas Satkūnas</w:t>
      </w:r>
    </w:p>
    <w:sectPr w:rsidR="00B77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567" w:left="1701" w:header="1135" w:footer="1134" w:gutter="0"/>
      <w:pgNumType w:start="1"/>
      <w:cols w:space="1296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9DC0" w14:textId="77777777" w:rsidR="00B77D3C" w:rsidRDefault="004F635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endnote>
  <w:endnote w:type="continuationSeparator" w:id="0">
    <w:p w14:paraId="1AEE9DC1" w14:textId="77777777" w:rsidR="00B77D3C" w:rsidRDefault="004F635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9DC5" w14:textId="77777777" w:rsidR="00B77D3C" w:rsidRDefault="00B77D3C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9DC6" w14:textId="77777777" w:rsidR="00B77D3C" w:rsidRDefault="00B77D3C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89BF" w14:textId="77777777" w:rsidR="00B77D3C" w:rsidRDefault="00B77D3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9DBE" w14:textId="77777777" w:rsidR="00B77D3C" w:rsidRDefault="004F635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footnote>
  <w:footnote w:type="continuationSeparator" w:id="0">
    <w:p w14:paraId="1AEE9DBF" w14:textId="77777777" w:rsidR="00B77D3C" w:rsidRDefault="004F635F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9DC2" w14:textId="77777777" w:rsidR="00B77D3C" w:rsidRDefault="00B77D3C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E574" w14:textId="77777777" w:rsidR="00B77D3C" w:rsidRDefault="00B77D3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9DC7" w14:textId="77777777" w:rsidR="00B77D3C" w:rsidRDefault="00B77D3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F5"/>
    <w:rsid w:val="000F54A1"/>
    <w:rsid w:val="004F635F"/>
    <w:rsid w:val="008065F5"/>
    <w:rsid w:val="00B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6385"/>
    <o:shapelayout v:ext="edit">
      <o:idmap v:ext="edit" data="1"/>
    </o:shapelayout>
  </w:shapeDefaults>
  <w:decimalSymbol w:val=","/>
  <w:listSeparator w:val=";"/>
  <w14:docId w14:val="1AEE9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3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?>

<Relationships xmlns="http://schemas.openxmlformats.org/package/2006/relationships">
  <Relationship Id="rId1" Type="http://schemas.microsoft.com/office/2006/relationships/attachedToolbars" Target="attachedToolbars.bin"/>
</Relationships>
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HOME</Company>
  <LinksUpToDate>false</LinksUpToDate>
  <CharactersWithSpaces>6235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2017-06-07T13:46:00Z</dcterms:created>
  <dc:creator>geologas</dc:creator>
  <lastModifiedBy>GRUNDAITĖ Aistė</lastModifiedBy>
  <lastPrinted>2017-06-02T07:32:00Z</lastPrinted>
  <dcterms:modified xsi:type="dcterms:W3CDTF">2017-06-21T09:37:00Z</dcterms:modified>
  <revision>4</revision>
  <dc:title>Nr</dc:title>
</coreProperties>
</file>