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7BCC63ED" w14:textId="77777777" w:rsidR="0021238A" w:rsidRDefault="0021238A">
      <w:pPr>
        <w:rPr>
          <w:sz w:val="14"/>
          <w:szCs w:val="14"/>
        </w:rPr>
      </w:pPr>
    </w:p>
    <w:p w14:paraId="7BCC63EE" w14:textId="77777777" w:rsidR="0021238A" w:rsidRDefault="0005149D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noProof/>
          <w:szCs w:val="24"/>
          <w:lang w:eastAsia="lt-LT"/>
        </w:rPr>
        <w:drawing>
          <wp:inline distT="0" distB="0" distL="0" distR="0" wp14:anchorId="7BCC6467" wp14:editId="7BCC6468">
            <wp:extent cx="524510" cy="62039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C63EF" w14:textId="77777777" w:rsidR="0021238A" w:rsidRDefault="0021238A">
      <w:pPr>
        <w:rPr>
          <w:sz w:val="14"/>
          <w:szCs w:val="14"/>
        </w:rPr>
      </w:pPr>
    </w:p>
    <w:p w14:paraId="7BCC63F0" w14:textId="77777777" w:rsidR="0021238A" w:rsidRDefault="0005149D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b/>
          <w:bCs/>
          <w:szCs w:val="24"/>
          <w:lang w:bidi="en-US"/>
        </w:rPr>
        <w:t>LIETUVOS RESPUBLIKOS APLINKOS MINISTRAS</w:t>
      </w:r>
      <w:r>
        <w:rPr>
          <w:rFonts w:eastAsia="Andale Sans UI" w:cs="Tahoma"/>
          <w:b/>
          <w:bCs/>
          <w:szCs w:val="24"/>
          <w:lang w:bidi="en-US"/>
        </w:rPr>
        <w:br/>
      </w:r>
    </w:p>
    <w:p w14:paraId="7BCC63F1" w14:textId="77777777" w:rsidR="0021238A" w:rsidRDefault="0021238A">
      <w:pPr>
        <w:rPr>
          <w:sz w:val="14"/>
          <w:szCs w:val="14"/>
        </w:rPr>
      </w:pPr>
    </w:p>
    <w:p w14:paraId="7BCC63F2" w14:textId="77777777" w:rsidR="0021238A" w:rsidRDefault="0005149D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b/>
          <w:bCs/>
          <w:szCs w:val="24"/>
          <w:lang w:bidi="en-US"/>
        </w:rPr>
        <w:t>ĮSAKYMAS</w:t>
      </w:r>
    </w:p>
    <w:p w14:paraId="7BCC63F3" w14:textId="77777777" w:rsidR="0021238A" w:rsidRDefault="0005149D">
      <w:pPr>
        <w:widowControl w:val="0"/>
        <w:suppressAutoHyphens/>
        <w:jc w:val="center"/>
        <w:rPr>
          <w:rFonts w:eastAsia="Andale Sans UI" w:cs="Tahoma"/>
          <w:b/>
          <w:szCs w:val="24"/>
          <w:lang w:bidi="en-US"/>
        </w:rPr>
      </w:pPr>
      <w:r>
        <w:rPr>
          <w:rFonts w:eastAsia="Andale Sans UI" w:cs="Tahoma"/>
          <w:b/>
          <w:szCs w:val="24"/>
          <w:lang w:bidi="en-US"/>
        </w:rPr>
        <w:t>D</w:t>
      </w:r>
      <w:r>
        <w:rPr>
          <w:rFonts w:eastAsia="Andale Sans UI" w:cs="Tahoma" w:hint="cs"/>
          <w:b/>
          <w:szCs w:val="24"/>
          <w:lang w:bidi="en-US"/>
        </w:rPr>
        <w:t>Ė</w:t>
      </w:r>
      <w:r>
        <w:rPr>
          <w:rFonts w:eastAsia="Andale Sans UI" w:cs="Tahoma"/>
          <w:b/>
          <w:szCs w:val="24"/>
          <w:lang w:bidi="en-US"/>
        </w:rPr>
        <w:t>L BENDR</w:t>
      </w:r>
      <w:r>
        <w:rPr>
          <w:rFonts w:eastAsia="Andale Sans UI" w:cs="Tahoma" w:hint="cs"/>
          <w:b/>
          <w:szCs w:val="24"/>
          <w:lang w:bidi="en-US"/>
        </w:rPr>
        <w:t>Ų</w:t>
      </w:r>
      <w:r>
        <w:rPr>
          <w:rFonts w:eastAsia="Andale Sans UI" w:cs="Tahoma"/>
          <w:b/>
          <w:szCs w:val="24"/>
          <w:lang w:bidi="en-US"/>
        </w:rPr>
        <w:t>J</w:t>
      </w:r>
      <w:r>
        <w:rPr>
          <w:rFonts w:eastAsia="Andale Sans UI" w:cs="Tahoma" w:hint="cs"/>
          <w:b/>
          <w:szCs w:val="24"/>
          <w:lang w:bidi="en-US"/>
        </w:rPr>
        <w:t>Ų</w:t>
      </w:r>
      <w:r>
        <w:rPr>
          <w:rFonts w:eastAsia="Andale Sans UI" w:cs="Tahoma"/>
          <w:b/>
          <w:szCs w:val="24"/>
          <w:lang w:bidi="en-US"/>
        </w:rPr>
        <w:t xml:space="preserve"> MI</w:t>
      </w:r>
      <w:r>
        <w:rPr>
          <w:rFonts w:eastAsia="Andale Sans UI" w:cs="Tahoma" w:hint="cs"/>
          <w:b/>
          <w:szCs w:val="24"/>
          <w:lang w:bidi="en-US"/>
        </w:rPr>
        <w:t>Š</w:t>
      </w:r>
      <w:r>
        <w:rPr>
          <w:rFonts w:eastAsia="Andale Sans UI" w:cs="Tahoma"/>
          <w:b/>
          <w:szCs w:val="24"/>
          <w:lang w:bidi="en-US"/>
        </w:rPr>
        <w:t>K</w:t>
      </w:r>
      <w:r>
        <w:rPr>
          <w:rFonts w:eastAsia="Andale Sans UI" w:cs="Tahoma" w:hint="cs"/>
          <w:b/>
          <w:szCs w:val="24"/>
          <w:lang w:bidi="en-US"/>
        </w:rPr>
        <w:t>Ų</w:t>
      </w:r>
      <w:r>
        <w:rPr>
          <w:rFonts w:eastAsia="Andale Sans UI" w:cs="Tahoma"/>
          <w:b/>
          <w:szCs w:val="24"/>
          <w:lang w:bidi="en-US"/>
        </w:rPr>
        <w:t xml:space="preserve"> </w:t>
      </w:r>
      <w:r>
        <w:rPr>
          <w:rFonts w:eastAsia="Andale Sans UI" w:cs="Tahoma" w:hint="cs"/>
          <w:b/>
          <w:szCs w:val="24"/>
          <w:lang w:bidi="en-US"/>
        </w:rPr>
        <w:t>Ū</w:t>
      </w:r>
      <w:r>
        <w:rPr>
          <w:rFonts w:eastAsia="Andale Sans UI" w:cs="Tahoma"/>
          <w:b/>
          <w:szCs w:val="24"/>
          <w:lang w:bidi="en-US"/>
        </w:rPr>
        <w:t>KIO REIKMI</w:t>
      </w:r>
      <w:r>
        <w:rPr>
          <w:rFonts w:eastAsia="Andale Sans UI" w:cs="Tahoma" w:hint="cs"/>
          <w:b/>
          <w:szCs w:val="24"/>
          <w:lang w:bidi="en-US"/>
        </w:rPr>
        <w:t>Ų</w:t>
      </w:r>
      <w:r>
        <w:rPr>
          <w:rFonts w:eastAsia="Andale Sans UI" w:cs="Tahoma"/>
          <w:b/>
          <w:szCs w:val="24"/>
          <w:lang w:bidi="en-US"/>
        </w:rPr>
        <w:t xml:space="preserve"> FINANSAVIMO PROGRAMOS 2016 MET</w:t>
      </w:r>
      <w:r>
        <w:rPr>
          <w:rFonts w:eastAsia="Andale Sans UI" w:cs="Tahoma" w:hint="cs"/>
          <w:b/>
          <w:szCs w:val="24"/>
          <w:lang w:bidi="en-US"/>
        </w:rPr>
        <w:t>Ų</w:t>
      </w:r>
      <w:r>
        <w:rPr>
          <w:rFonts w:eastAsia="Andale Sans UI" w:cs="Tahoma"/>
          <w:b/>
          <w:szCs w:val="24"/>
          <w:lang w:bidi="en-US"/>
        </w:rPr>
        <w:t xml:space="preserve"> L</w:t>
      </w:r>
      <w:r>
        <w:rPr>
          <w:rFonts w:eastAsia="Andale Sans UI" w:cs="Tahoma" w:hint="cs"/>
          <w:b/>
          <w:szCs w:val="24"/>
          <w:lang w:bidi="en-US"/>
        </w:rPr>
        <w:t>ĖŠŲ</w:t>
      </w:r>
      <w:r>
        <w:rPr>
          <w:rFonts w:eastAsia="Andale Sans UI" w:cs="Tahoma"/>
          <w:b/>
          <w:szCs w:val="24"/>
          <w:lang w:bidi="en-US"/>
        </w:rPr>
        <w:t xml:space="preserve"> PASKIRSTYMO PAGAL PRIEMONIŲ GRUPES PATVIRTINIMO</w:t>
      </w:r>
    </w:p>
    <w:p w14:paraId="7BCC63F4" w14:textId="77777777" w:rsidR="0021238A" w:rsidRDefault="0021238A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</w:p>
    <w:p w14:paraId="7BCC63F5" w14:textId="77777777" w:rsidR="0021238A" w:rsidRDefault="0005149D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2015 m.</w:t>
      </w:r>
      <w:r>
        <w:rPr>
          <w:rFonts w:ascii="Thorndale" w:eastAsia="Andale Sans UI" w:hAnsi="Thorndale" w:cs="Tahoma"/>
          <w:szCs w:val="24"/>
          <w:lang w:bidi="en-US"/>
        </w:rPr>
        <w:t xml:space="preserve"> birželio 29 </w:t>
      </w:r>
      <w:r>
        <w:rPr>
          <w:rFonts w:eastAsia="Andale Sans UI" w:cs="Tahoma"/>
          <w:szCs w:val="24"/>
          <w:lang w:bidi="en-US"/>
        </w:rPr>
        <w:t>d. Nr. D1-507</w:t>
      </w:r>
    </w:p>
    <w:p w14:paraId="7BCC63F6" w14:textId="77777777" w:rsidR="0021238A" w:rsidRDefault="0005149D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Vilnius</w:t>
      </w:r>
      <w:r>
        <w:rPr>
          <w:rFonts w:eastAsia="Andale Sans UI" w:cs="Tahoma"/>
          <w:szCs w:val="24"/>
          <w:lang w:bidi="en-US"/>
        </w:rPr>
        <w:br/>
      </w:r>
    </w:p>
    <w:p w14:paraId="7BCC63F7" w14:textId="77777777" w:rsidR="0021238A" w:rsidRDefault="0021238A">
      <w:pPr>
        <w:widowControl w:val="0"/>
        <w:suppressAutoHyphens/>
        <w:ind w:firstLine="567"/>
        <w:jc w:val="both"/>
        <w:rPr>
          <w:rFonts w:eastAsia="Andale Sans UI"/>
          <w:szCs w:val="24"/>
          <w:lang w:bidi="en-US"/>
        </w:rPr>
      </w:pPr>
    </w:p>
    <w:p w14:paraId="7BCC63F8" w14:textId="77777777" w:rsidR="0021238A" w:rsidRDefault="0005149D">
      <w:pPr>
        <w:widowControl w:val="0"/>
        <w:suppressAutoHyphens/>
        <w:ind w:firstLine="567"/>
        <w:jc w:val="both"/>
        <w:rPr>
          <w:rFonts w:eastAsia="Andale Sans UI"/>
          <w:szCs w:val="24"/>
          <w:lang w:bidi="en-US"/>
        </w:rPr>
      </w:pPr>
      <w:r>
        <w:rPr>
          <w:rFonts w:eastAsia="Andale Sans UI"/>
          <w:szCs w:val="24"/>
          <w:lang w:bidi="en-US"/>
        </w:rPr>
        <w:t xml:space="preserve">Vadovaudamasis Lietuvos Respublikos </w:t>
      </w:r>
      <w:r>
        <w:rPr>
          <w:rFonts w:eastAsia="Andale Sans UI"/>
          <w:szCs w:val="24"/>
          <w:lang w:bidi="en-US"/>
        </w:rPr>
        <w:t>miškų įstatymo 7 straipsnio 2 dalimi,</w:t>
      </w:r>
    </w:p>
    <w:p w14:paraId="7BCC63FA" w14:textId="6478CE10" w:rsidR="0021238A" w:rsidRDefault="0005149D">
      <w:pPr>
        <w:widowControl w:val="0"/>
        <w:suppressAutoHyphens/>
        <w:ind w:firstLine="567"/>
        <w:jc w:val="both"/>
        <w:rPr>
          <w:rFonts w:eastAsia="Andale Sans UI"/>
          <w:szCs w:val="24"/>
          <w:lang w:bidi="en-US"/>
        </w:rPr>
      </w:pPr>
      <w:r>
        <w:rPr>
          <w:rFonts w:eastAsia="Andale Sans UI"/>
          <w:spacing w:val="40"/>
          <w:szCs w:val="24"/>
          <w:lang w:bidi="en-US"/>
        </w:rPr>
        <w:t xml:space="preserve">tvirtinu </w:t>
      </w:r>
      <w:r>
        <w:rPr>
          <w:rFonts w:eastAsia="Andale Sans UI"/>
          <w:szCs w:val="24"/>
          <w:lang w:bidi="en-US"/>
        </w:rPr>
        <w:t xml:space="preserve">Bendrųjų miškų ūkio reikmių finansavimo programos 2016 metų lėšų paskirstymą pagal priemonių grupes (pridedama). </w:t>
      </w:r>
    </w:p>
    <w:p w14:paraId="3746C21D" w14:textId="692A5833" w:rsidR="0005149D" w:rsidRDefault="0005149D" w:rsidP="0005149D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</w:p>
    <w:p w14:paraId="5C447670" w14:textId="77777777" w:rsidR="0005149D" w:rsidRDefault="0005149D" w:rsidP="0005149D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</w:p>
    <w:p w14:paraId="49809249" w14:textId="77777777" w:rsidR="0005149D" w:rsidRDefault="0005149D" w:rsidP="0005149D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</w:p>
    <w:p w14:paraId="7BCC63FB" w14:textId="3091966C" w:rsidR="0021238A" w:rsidRDefault="0005149D" w:rsidP="0005149D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  <w:r w:rsidRPr="0005149D">
        <w:rPr>
          <w:rFonts w:eastAsia="Andale Sans UI"/>
          <w:szCs w:val="24"/>
          <w:lang w:bidi="en-US"/>
        </w:rPr>
        <w:t>Aplinkos ministras</w:t>
      </w:r>
      <w:r w:rsidRPr="0005149D"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 w:rsidRPr="0005149D">
        <w:rPr>
          <w:rFonts w:eastAsia="Andale Sans UI"/>
          <w:szCs w:val="24"/>
          <w:lang w:bidi="en-US"/>
        </w:rPr>
        <w:t>Kęstutis Trečiokas</w:t>
      </w:r>
    </w:p>
    <w:p w14:paraId="7BCC63FC" w14:textId="2BA377E2" w:rsidR="0021238A" w:rsidRDefault="0021238A" w:rsidP="0005149D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</w:p>
    <w:p w14:paraId="7BCC641C" w14:textId="542598CC" w:rsidR="0021238A" w:rsidRDefault="0005149D">
      <w:pPr>
        <w:widowControl w:val="0"/>
        <w:suppressAutoHyphens/>
        <w:contextualSpacing/>
        <w:jc w:val="both"/>
        <w:rPr>
          <w:rFonts w:ascii="Thorndale" w:eastAsia="Andale Sans UI" w:hAnsi="Thorndale" w:cs="Tahoma"/>
          <w:szCs w:val="24"/>
          <w:lang w:bidi="en-US"/>
        </w:rPr>
      </w:pPr>
    </w:p>
    <w:bookmarkEnd w:id="0" w:displacedByCustomXml="next"/>
    <w:p w14:paraId="7BCC641D" w14:textId="77777777" w:rsidR="0021238A" w:rsidRDefault="0005149D">
      <w:pPr>
        <w:ind w:left="5245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PATVIRTINTA</w:t>
      </w:r>
    </w:p>
    <w:p w14:paraId="7BCC641E" w14:textId="77777777" w:rsidR="0021238A" w:rsidRDefault="0005149D">
      <w:pPr>
        <w:ind w:left="5245"/>
        <w:rPr>
          <w:szCs w:val="24"/>
        </w:rPr>
      </w:pPr>
      <w:r>
        <w:rPr>
          <w:szCs w:val="24"/>
        </w:rPr>
        <w:t>Lietuvos Respublikos aplinkos ministro</w:t>
      </w:r>
    </w:p>
    <w:p w14:paraId="7BCC641F" w14:textId="77777777" w:rsidR="0021238A" w:rsidRDefault="0005149D">
      <w:pPr>
        <w:widowControl w:val="0"/>
        <w:suppressAutoHyphens/>
        <w:ind w:firstLine="5245"/>
        <w:rPr>
          <w:rFonts w:eastAsia="Andale Sans UI" w:cs="Tahoma"/>
          <w:szCs w:val="24"/>
          <w:lang w:bidi="en-US"/>
        </w:rPr>
      </w:pPr>
      <w:r>
        <w:rPr>
          <w:rFonts w:ascii="Thorndale" w:eastAsia="Andale Sans UI" w:hAnsi="Thorndale" w:cs="Tahoma"/>
          <w:szCs w:val="24"/>
          <w:lang w:bidi="en-US"/>
        </w:rPr>
        <w:t>2015 m. birželio 29 d. įsakymu Nr. D1-507</w:t>
      </w:r>
    </w:p>
    <w:p w14:paraId="7BCC6420" w14:textId="77777777" w:rsidR="0021238A" w:rsidRDefault="0021238A">
      <w:pPr>
        <w:widowControl w:val="0"/>
        <w:suppressAutoHyphens/>
        <w:contextualSpacing/>
        <w:jc w:val="both"/>
        <w:rPr>
          <w:rFonts w:ascii="Thorndale" w:eastAsia="Andale Sans UI" w:hAnsi="Thorndale" w:cs="Tahoma"/>
          <w:szCs w:val="24"/>
          <w:lang w:bidi="en-US"/>
        </w:rPr>
      </w:pPr>
    </w:p>
    <w:p w14:paraId="7BCC6421" w14:textId="77777777" w:rsidR="0021238A" w:rsidRDefault="0005149D">
      <w:pPr>
        <w:widowControl w:val="0"/>
        <w:suppressAutoHyphens/>
        <w:contextualSpacing/>
        <w:jc w:val="center"/>
        <w:rPr>
          <w:rFonts w:eastAsia="Andale Sans UI"/>
          <w:b/>
          <w:caps/>
          <w:szCs w:val="24"/>
          <w:lang w:bidi="en-US"/>
        </w:rPr>
      </w:pPr>
      <w:r>
        <w:rPr>
          <w:rFonts w:eastAsia="Andale Sans UI"/>
          <w:b/>
          <w:caps/>
          <w:szCs w:val="24"/>
          <w:lang w:bidi="en-US"/>
        </w:rPr>
        <w:t>Bendrųjų miškų ūkio reikmių finansavimo programos 2016 metų lėšų paskirstymAS pagal priemonių grupes</w:t>
      </w:r>
    </w:p>
    <w:p w14:paraId="7BCC6422" w14:textId="77777777" w:rsidR="0021238A" w:rsidRDefault="0021238A">
      <w:pPr>
        <w:widowControl w:val="0"/>
        <w:suppressAutoHyphens/>
        <w:contextualSpacing/>
        <w:jc w:val="center"/>
        <w:rPr>
          <w:rFonts w:ascii="Thorndale" w:eastAsia="Andale Sans UI" w:hAnsi="Thorndale" w:cs="Tahoma"/>
          <w:b/>
          <w:caps/>
          <w:szCs w:val="24"/>
          <w:lang w:bidi="en-US"/>
        </w:rPr>
      </w:pPr>
    </w:p>
    <w:tbl>
      <w:tblPr>
        <w:tblW w:w="9321" w:type="dxa"/>
        <w:tblInd w:w="95" w:type="dxa"/>
        <w:tblLook w:val="04A0" w:firstRow="1" w:lastRow="0" w:firstColumn="1" w:lastColumn="0" w:noHBand="0" w:noVBand="1"/>
      </w:tblPr>
      <w:tblGrid>
        <w:gridCol w:w="963"/>
        <w:gridCol w:w="6421"/>
        <w:gridCol w:w="1937"/>
      </w:tblGrid>
      <w:tr w:rsidR="0021238A" w14:paraId="7BCC6426" w14:textId="77777777">
        <w:trPr>
          <w:trHeight w:val="9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423" w14:textId="77777777" w:rsidR="0021238A" w:rsidRDefault="0005149D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Punkto Nr.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424" w14:textId="77777777" w:rsidR="0021238A" w:rsidRDefault="0005149D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Priemonių grupės pavadinimas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425" w14:textId="77777777" w:rsidR="0021238A" w:rsidRDefault="0005149D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Planuojamos l</w:t>
            </w:r>
            <w:r>
              <w:rPr>
                <w:bCs/>
                <w:color w:val="000000"/>
                <w:szCs w:val="24"/>
                <w:lang w:eastAsia="lt-LT"/>
              </w:rPr>
              <w:t>ėšos, eurais</w:t>
            </w:r>
          </w:p>
        </w:tc>
      </w:tr>
      <w:tr w:rsidR="0021238A" w14:paraId="7BCC642A" w14:textId="77777777">
        <w:trPr>
          <w:trHeight w:val="64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7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8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Miškų inventorizavimui, apskaitai, valstybinių miškų miškotvarkos projektams rengti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9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1 663 000,0</w:t>
            </w:r>
          </w:p>
        </w:tc>
      </w:tr>
      <w:tr w:rsidR="0021238A" w14:paraId="7BCC642E" w14:textId="77777777">
        <w:trPr>
          <w:trHeight w:val="69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B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C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Bendrai, nepriklausomai nuo nuosavybės formos, valstybinei miškų priešgaisrinei sistemai organizuoti ir išlaikyti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D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300 000,0</w:t>
            </w:r>
          </w:p>
        </w:tc>
      </w:tr>
      <w:tr w:rsidR="0021238A" w14:paraId="7BCC6432" w14:textId="77777777">
        <w:trPr>
          <w:trHeight w:val="63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2F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0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Stichinių </w:t>
            </w:r>
            <w:r>
              <w:rPr>
                <w:color w:val="000000"/>
                <w:szCs w:val="24"/>
                <w:lang w:eastAsia="lt-LT"/>
              </w:rPr>
              <w:t>nelaimių padariniams ir masinių ligų bei kenkėjų židiniams likviduoti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1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100 000,0</w:t>
            </w:r>
          </w:p>
        </w:tc>
      </w:tr>
      <w:tr w:rsidR="0021238A" w14:paraId="7BCC6436" w14:textId="77777777">
        <w:trPr>
          <w:trHeight w:val="48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3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4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Miškų mokslo ir projektavimo darbams vykdyti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5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170 000,0</w:t>
            </w:r>
          </w:p>
        </w:tc>
      </w:tr>
      <w:tr w:rsidR="0021238A" w14:paraId="7BCC643A" w14:textId="77777777">
        <w:trPr>
          <w:trHeight w:val="69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7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8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Privačių miškų savininkams konsultuoti bei mokyti, privačių miškų savininkų organizacinėms struktūroms kurtis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9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220</w:t>
            </w:r>
            <w:r>
              <w:rPr>
                <w:color w:val="000000"/>
                <w:szCs w:val="24"/>
                <w:lang w:eastAsia="lt-LT"/>
              </w:rPr>
              <w:t xml:space="preserve"> 000,0</w:t>
            </w:r>
          </w:p>
        </w:tc>
      </w:tr>
      <w:tr w:rsidR="0021238A" w14:paraId="7BCC643E" w14:textId="77777777">
        <w:trPr>
          <w:trHeight w:val="56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B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C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Miško kelių ir susijusių miško žemės sausinimo sistemų įrenginių priežiūrai ir taisymui (remontui)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D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870 000,0</w:t>
            </w:r>
          </w:p>
        </w:tc>
      </w:tr>
      <w:tr w:rsidR="0021238A" w14:paraId="7BCC6442" w14:textId="77777777">
        <w:trPr>
          <w:trHeight w:val="4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3F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0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Informacijai apie miškus viešinti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1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50 000,0</w:t>
            </w:r>
          </w:p>
        </w:tc>
      </w:tr>
      <w:tr w:rsidR="0021238A" w14:paraId="7BCC6446" w14:textId="77777777">
        <w:trPr>
          <w:trHeight w:val="69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3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4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Aplinkos ministerijai pavaldžių institucijų vykdomoms programoms miškų ūkio srityje </w:t>
            </w:r>
            <w:r>
              <w:rPr>
                <w:color w:val="000000"/>
                <w:szCs w:val="24"/>
                <w:lang w:eastAsia="lt-LT"/>
              </w:rPr>
              <w:t>įgyvendinti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5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4 326 634,0</w:t>
            </w:r>
          </w:p>
        </w:tc>
      </w:tr>
      <w:tr w:rsidR="0021238A" w14:paraId="7BCC644A" w14:textId="77777777">
        <w:trPr>
          <w:trHeight w:val="41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7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8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Kitoms bendrosioms miškų ūkio reikmėms finansuoti: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9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1 000 366,0</w:t>
            </w:r>
          </w:p>
        </w:tc>
      </w:tr>
      <w:tr w:rsidR="0021238A" w14:paraId="7BCC644E" w14:textId="77777777">
        <w:trPr>
          <w:trHeight w:val="254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B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C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naujiems miškams įveisti skirtai žemei įsigyti, miškams valstybinėje žemėje įveisti, žemės sklypų, perduodamų valstybinės reikšmės miškams įveisti, </w:t>
            </w:r>
            <w:r>
              <w:rPr>
                <w:color w:val="000000"/>
                <w:szCs w:val="24"/>
                <w:lang w:eastAsia="lt-LT"/>
              </w:rPr>
              <w:t xml:space="preserve">įregistruoti Nekilnojamojo turto registre valstybės vardu inovatyvioms miško dauginamosios medžiagos auginimo technologijoms diegti ir kitoms su miškų priežiūra, apsauga ir tvarkymu susijusioms priemonėms finansuoti, panaudojant pinigines kompensacijas už </w:t>
            </w:r>
            <w:r>
              <w:rPr>
                <w:color w:val="000000"/>
                <w:szCs w:val="24"/>
                <w:lang w:eastAsia="lt-LT"/>
              </w:rPr>
              <w:t>miško žemės pavertimą kitomis naudmenomis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4D" w14:textId="77777777" w:rsidR="0021238A" w:rsidRDefault="0005149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370 000,0</w:t>
            </w:r>
          </w:p>
        </w:tc>
      </w:tr>
      <w:tr w:rsidR="0021238A" w14:paraId="7BCC6452" w14:textId="77777777">
        <w:trPr>
          <w:trHeight w:val="54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C644F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CC6450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miestų miškų priežiūros, apsaugos ir tvarkymo darbams vykdyti,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CC6451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300 000,0</w:t>
            </w:r>
          </w:p>
        </w:tc>
      </w:tr>
      <w:tr w:rsidR="0021238A" w14:paraId="7BCC6456" w14:textId="77777777">
        <w:trPr>
          <w:trHeight w:val="42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C6453" w14:textId="77777777" w:rsidR="0021238A" w:rsidRDefault="0021238A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4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specialios tikslinės dotacijos savivaldybėms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5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100 000,0</w:t>
            </w:r>
          </w:p>
        </w:tc>
      </w:tr>
      <w:tr w:rsidR="0021238A" w14:paraId="7BCC645A" w14:textId="77777777">
        <w:trPr>
          <w:trHeight w:val="7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7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9.3. 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8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miškų ūkio srities informacinėms sistemoms kurti, </w:t>
            </w:r>
            <w:r>
              <w:rPr>
                <w:color w:val="000000"/>
                <w:szCs w:val="24"/>
                <w:lang w:eastAsia="lt-LT"/>
              </w:rPr>
              <w:t>plėtoti ir prižiūrėti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9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280 366,0</w:t>
            </w:r>
          </w:p>
        </w:tc>
      </w:tr>
      <w:tr w:rsidR="0021238A" w14:paraId="7BCC645E" w14:textId="77777777">
        <w:trPr>
          <w:trHeight w:val="7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B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C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pasaulyje pripažintoms miškų sertifikavimo sistemoms diegti šalies mastu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D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20 000,0</w:t>
            </w:r>
          </w:p>
        </w:tc>
      </w:tr>
      <w:tr w:rsidR="0021238A" w14:paraId="7BCC6462" w14:textId="77777777">
        <w:trPr>
          <w:trHeight w:val="7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5F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9.5.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60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atstovavimo Lietuvai tarptautinėse miškų ūkio srities organizacijose ar renginiuose išlaidoms apmokėti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61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30 000,0</w:t>
            </w:r>
          </w:p>
        </w:tc>
      </w:tr>
      <w:tr w:rsidR="0021238A" w14:paraId="7BCC6465" w14:textId="77777777">
        <w:trPr>
          <w:trHeight w:val="315"/>
        </w:trPr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6463" w14:textId="77777777" w:rsidR="0021238A" w:rsidRDefault="0005149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programai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464" w14:textId="77777777" w:rsidR="0021238A" w:rsidRDefault="0005149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8 700 000,0</w:t>
            </w:r>
          </w:p>
        </w:tc>
      </w:tr>
    </w:tbl>
    <w:p w14:paraId="7BCC6466" w14:textId="77777777" w:rsidR="0021238A" w:rsidRDefault="0005149D"/>
    <w:sectPr w:rsidR="0021238A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2"/>
    <w:rsid w:val="0005149D"/>
    <w:rsid w:val="0021238A"/>
    <w:rsid w:val="007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51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51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C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34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34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2015-06-30T10:10:00Z</dcterms:created>
  <dc:creator>anzela</dc:creator>
  <lastModifiedBy>SKAPAITĖ Dalia</lastModifiedBy>
  <dcterms:modified xsi:type="dcterms:W3CDTF">2015-06-30T10:41:00Z</dcterms:modified>
  <revision>3</revision>
</coreProperties>
</file>