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1A5FC" w14:textId="446FFA40" w:rsidR="00A8455F" w:rsidRDefault="00164F07" w:rsidP="00164F07">
      <w:pPr>
        <w:tabs>
          <w:tab w:val="center" w:pos="4819"/>
          <w:tab w:val="right" w:pos="9638"/>
        </w:tabs>
        <w:jc w:val="center"/>
        <w:rPr>
          <w:b/>
          <w:sz w:val="28"/>
        </w:rPr>
      </w:pPr>
      <w:r>
        <w:rPr>
          <w:b/>
          <w:noProof/>
          <w:sz w:val="28"/>
          <w:lang w:eastAsia="lt-LT"/>
        </w:rPr>
        <w:drawing>
          <wp:inline distT="0" distB="0" distL="0" distR="0" wp14:anchorId="70E1A69F" wp14:editId="70E1A6A0">
            <wp:extent cx="1054735" cy="72517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725170"/>
                    </a:xfrm>
                    <a:prstGeom prst="rect">
                      <a:avLst/>
                    </a:prstGeom>
                    <a:noFill/>
                  </pic:spPr>
                </pic:pic>
              </a:graphicData>
            </a:graphic>
          </wp:inline>
        </w:drawing>
      </w:r>
    </w:p>
    <w:p w14:paraId="70E1A5FD" w14:textId="77777777" w:rsidR="00A8455F" w:rsidRDefault="00A8455F">
      <w:pPr>
        <w:overflowPunct w:val="0"/>
        <w:jc w:val="center"/>
        <w:textAlignment w:val="baseline"/>
        <w:rPr>
          <w:b/>
          <w:sz w:val="28"/>
        </w:rPr>
      </w:pPr>
    </w:p>
    <w:p w14:paraId="70E1A5FE" w14:textId="77777777" w:rsidR="00A8455F" w:rsidRDefault="00164F07">
      <w:pPr>
        <w:overflowPunct w:val="0"/>
        <w:jc w:val="center"/>
        <w:textAlignment w:val="baseline"/>
        <w:rPr>
          <w:b/>
          <w:sz w:val="28"/>
        </w:rPr>
      </w:pPr>
      <w:r>
        <w:rPr>
          <w:b/>
          <w:sz w:val="28"/>
        </w:rPr>
        <w:t xml:space="preserve">LIETUVOS RESPUBLIKOS ŽEMĖS ŪKIO </w:t>
      </w:r>
    </w:p>
    <w:p w14:paraId="70E1A5FF" w14:textId="77777777" w:rsidR="00A8455F" w:rsidRDefault="00164F07">
      <w:pPr>
        <w:overflowPunct w:val="0"/>
        <w:jc w:val="center"/>
        <w:textAlignment w:val="baseline"/>
        <w:rPr>
          <w:b/>
          <w:sz w:val="28"/>
        </w:rPr>
      </w:pPr>
      <w:r>
        <w:rPr>
          <w:b/>
          <w:sz w:val="28"/>
        </w:rPr>
        <w:t>MINISTRAS</w:t>
      </w:r>
    </w:p>
    <w:p w14:paraId="70E1A600" w14:textId="77777777" w:rsidR="00A8455F" w:rsidRDefault="00A8455F">
      <w:pPr>
        <w:overflowPunct w:val="0"/>
        <w:jc w:val="center"/>
        <w:textAlignment w:val="baseline"/>
        <w:rPr>
          <w:b/>
          <w:sz w:val="26"/>
        </w:rPr>
      </w:pPr>
    </w:p>
    <w:p w14:paraId="70E1A601" w14:textId="77777777" w:rsidR="00A8455F" w:rsidRDefault="00164F07">
      <w:pPr>
        <w:overflowPunct w:val="0"/>
        <w:jc w:val="center"/>
        <w:textAlignment w:val="baseline"/>
        <w:rPr>
          <w:b/>
        </w:rPr>
      </w:pPr>
      <w:r>
        <w:rPr>
          <w:b/>
        </w:rPr>
        <w:t>ĮSAKYMAS</w:t>
      </w:r>
    </w:p>
    <w:p w14:paraId="70E1A602" w14:textId="77777777" w:rsidR="00A8455F" w:rsidRDefault="00A8455F">
      <w:pPr>
        <w:overflowPunct w:val="0"/>
        <w:jc w:val="center"/>
        <w:textAlignment w:val="baseline"/>
        <w:rPr>
          <w:b/>
          <w:szCs w:val="24"/>
        </w:rPr>
      </w:pPr>
    </w:p>
    <w:p w14:paraId="70E1A603" w14:textId="77777777" w:rsidR="00A8455F" w:rsidRDefault="00164F07">
      <w:pPr>
        <w:overflowPunct w:val="0"/>
        <w:jc w:val="center"/>
        <w:textAlignment w:val="baseline"/>
        <w:rPr>
          <w:b/>
          <w:szCs w:val="24"/>
        </w:rPr>
      </w:pPr>
      <w:r>
        <w:rPr>
          <w:b/>
          <w:szCs w:val="24"/>
        </w:rPr>
        <w:t xml:space="preserve">DĖL DIRBTINAI SUKURTŲ SĄLYGŲ PARAMAI GAUTI NUSTATYMO METODIKOS PATVIRTINIMO </w:t>
      </w:r>
    </w:p>
    <w:p w14:paraId="70E1A604" w14:textId="77777777" w:rsidR="00A8455F" w:rsidRDefault="00A8455F">
      <w:pPr>
        <w:overflowPunct w:val="0"/>
        <w:jc w:val="center"/>
        <w:textAlignment w:val="baseline"/>
        <w:rPr>
          <w:sz w:val="16"/>
        </w:rPr>
      </w:pPr>
    </w:p>
    <w:p w14:paraId="70E1A605" w14:textId="77777777" w:rsidR="00A8455F" w:rsidRDefault="00A8455F">
      <w:pPr>
        <w:overflowPunct w:val="0"/>
        <w:jc w:val="center"/>
        <w:textAlignment w:val="baseline"/>
        <w:rPr>
          <w:sz w:val="6"/>
          <w:szCs w:val="6"/>
        </w:rPr>
      </w:pPr>
    </w:p>
    <w:p w14:paraId="70E1A606" w14:textId="77777777" w:rsidR="00A8455F" w:rsidRDefault="00A8455F">
      <w:pPr>
        <w:overflowPunct w:val="0"/>
        <w:spacing w:line="360" w:lineRule="auto"/>
        <w:jc w:val="center"/>
        <w:textAlignment w:val="baseline"/>
        <w:rPr>
          <w:sz w:val="20"/>
        </w:rPr>
      </w:pPr>
    </w:p>
    <w:p w14:paraId="70E1A608" w14:textId="1DB4EA06" w:rsidR="00A8455F" w:rsidRPr="00164F07" w:rsidRDefault="00164F07" w:rsidP="00164F07">
      <w:pPr>
        <w:overflowPunct w:val="0"/>
        <w:jc w:val="center"/>
        <w:textAlignment w:val="baseline"/>
      </w:pPr>
      <w:r>
        <w:t>2014 m. lapkričio 27 d. Nr. 3D-889</w:t>
      </w:r>
    </w:p>
    <w:p w14:paraId="70E1A609" w14:textId="77777777" w:rsidR="00A8455F" w:rsidRDefault="00164F07">
      <w:pPr>
        <w:overflowPunct w:val="0"/>
        <w:spacing w:line="360" w:lineRule="auto"/>
        <w:jc w:val="center"/>
        <w:textAlignment w:val="baseline"/>
      </w:pPr>
      <w:r>
        <w:t>Vilnius</w:t>
      </w:r>
    </w:p>
    <w:p w14:paraId="4082B37C" w14:textId="77777777" w:rsidR="00164F07" w:rsidRDefault="00164F07">
      <w:pPr>
        <w:overflowPunct w:val="0"/>
        <w:spacing w:line="360" w:lineRule="auto"/>
        <w:jc w:val="center"/>
        <w:textAlignment w:val="baseline"/>
      </w:pPr>
    </w:p>
    <w:p w14:paraId="712C6493" w14:textId="77777777" w:rsidR="00164F07" w:rsidRDefault="00164F07">
      <w:pPr>
        <w:overflowPunct w:val="0"/>
        <w:spacing w:line="360" w:lineRule="auto"/>
        <w:jc w:val="center"/>
        <w:textAlignment w:val="baseline"/>
      </w:pPr>
    </w:p>
    <w:p w14:paraId="70E1A60A" w14:textId="77777777" w:rsidR="00A8455F" w:rsidRDefault="00164F07">
      <w:pPr>
        <w:overflowPunct w:val="0"/>
        <w:spacing w:line="360" w:lineRule="auto"/>
        <w:ind w:firstLine="720"/>
        <w:jc w:val="both"/>
        <w:textAlignment w:val="baseline"/>
        <w:rPr>
          <w:szCs w:val="24"/>
        </w:rPr>
      </w:pPr>
      <w:r>
        <w:rPr>
          <w:szCs w:val="24"/>
        </w:rPr>
        <w:t>Siekdama įgyvendinti Lietuvos kaimo plėtros 2014–2020 metų programą ir atsižvelgdama į Lietuvos kaimo plėtros 2014–2020 metų programos administravimo taisyklių, patvirtintų Lietuvos Respublikos žemės ūkio ministro 2014 m. rugpjūčio 26 d. įsakymu Nr. 3D-507 „Dėl Lietuvos kaimo plėtros 2014–2020 metų programos administravimo taisyklių patvirtinimo“ nuostatas,</w:t>
      </w:r>
    </w:p>
    <w:p w14:paraId="70E1A60E" w14:textId="4F1B5503" w:rsidR="00A8455F" w:rsidRPr="00164F07" w:rsidRDefault="00164F07" w:rsidP="00164F07">
      <w:pPr>
        <w:overflowPunct w:val="0"/>
        <w:spacing w:line="360" w:lineRule="auto"/>
        <w:ind w:firstLine="720"/>
        <w:jc w:val="both"/>
        <w:textAlignment w:val="baseline"/>
        <w:rPr>
          <w:szCs w:val="24"/>
        </w:rPr>
      </w:pPr>
      <w:r>
        <w:rPr>
          <w:szCs w:val="24"/>
        </w:rPr>
        <w:t xml:space="preserve">t v i r t i n u Dirbtinai sukurtų sąlygų paramai gauti nustatymo metodiką (pridedama). </w:t>
      </w:r>
    </w:p>
    <w:p w14:paraId="5212F5AD" w14:textId="77777777" w:rsidR="00164F07" w:rsidRDefault="00164F07">
      <w:pPr>
        <w:spacing w:line="360" w:lineRule="auto"/>
        <w:jc w:val="both"/>
      </w:pPr>
    </w:p>
    <w:p w14:paraId="72C96F1A" w14:textId="77777777" w:rsidR="00164F07" w:rsidRDefault="00164F07">
      <w:pPr>
        <w:spacing w:line="360" w:lineRule="auto"/>
        <w:jc w:val="both"/>
      </w:pPr>
    </w:p>
    <w:p w14:paraId="34B81FB3" w14:textId="77777777" w:rsidR="00164F07" w:rsidRDefault="00164F07">
      <w:pPr>
        <w:spacing w:line="360" w:lineRule="auto"/>
        <w:jc w:val="both"/>
      </w:pPr>
    </w:p>
    <w:p w14:paraId="70E1A611" w14:textId="5F066F50" w:rsidR="00A8455F" w:rsidRDefault="00164F07" w:rsidP="00164F07">
      <w:pPr>
        <w:spacing w:line="360" w:lineRule="auto"/>
        <w:jc w:val="both"/>
      </w:pPr>
      <w:r>
        <w:rPr>
          <w:szCs w:val="24"/>
          <w:lang w:eastAsia="lt-LT"/>
        </w:rPr>
        <w:t>Žemės ūkio ministrė</w:t>
      </w:r>
      <w:r>
        <w:rPr>
          <w:szCs w:val="24"/>
          <w:lang w:eastAsia="lt-LT"/>
        </w:rPr>
        <w:tab/>
        <w:t xml:space="preserve">         </w:t>
      </w:r>
      <w:r>
        <w:rPr>
          <w:szCs w:val="24"/>
          <w:lang w:eastAsia="lt-LT"/>
        </w:rPr>
        <w:tab/>
        <w:t xml:space="preserve">     </w:t>
      </w:r>
      <w:r>
        <w:rPr>
          <w:szCs w:val="24"/>
          <w:lang w:eastAsia="lt-LT"/>
        </w:rPr>
        <w:tab/>
      </w:r>
      <w:r>
        <w:rPr>
          <w:szCs w:val="24"/>
          <w:lang w:eastAsia="lt-LT"/>
        </w:rPr>
        <w:tab/>
        <w:t xml:space="preserve">      Virginija </w:t>
      </w:r>
      <w:proofErr w:type="spellStart"/>
      <w:r>
        <w:rPr>
          <w:szCs w:val="24"/>
          <w:lang w:eastAsia="lt-LT"/>
        </w:rPr>
        <w:t>Baltraitienė</w:t>
      </w:r>
      <w:proofErr w:type="spellEnd"/>
    </w:p>
    <w:p w14:paraId="42295AE0" w14:textId="7FEB6B12" w:rsidR="00164F07" w:rsidRDefault="00164F07">
      <w:pPr>
        <w:contextualSpacing/>
      </w:pPr>
      <w:r>
        <w:br w:type="page"/>
      </w:r>
    </w:p>
    <w:p w14:paraId="70E1A612" w14:textId="42A4AA62" w:rsidR="00A8455F" w:rsidRDefault="00164F07">
      <w:pPr>
        <w:ind w:left="5528" w:firstLine="952"/>
        <w:contextualSpacing/>
        <w:rPr>
          <w:rFonts w:eastAsia="Calibri"/>
          <w:bCs/>
          <w:szCs w:val="24"/>
        </w:rPr>
      </w:pPr>
      <w:r>
        <w:rPr>
          <w:rFonts w:eastAsia="Calibri"/>
          <w:bCs/>
          <w:szCs w:val="24"/>
        </w:rPr>
        <w:lastRenderedPageBreak/>
        <w:t>PATVIRTINTA</w:t>
      </w:r>
    </w:p>
    <w:p w14:paraId="70E1A613" w14:textId="77777777" w:rsidR="00A8455F" w:rsidRDefault="00164F07">
      <w:pPr>
        <w:ind w:left="6480"/>
        <w:contextualSpacing/>
        <w:rPr>
          <w:rFonts w:eastAsia="Calibri"/>
          <w:bCs/>
          <w:szCs w:val="24"/>
        </w:rPr>
      </w:pPr>
      <w:r>
        <w:rPr>
          <w:rFonts w:eastAsia="Calibri"/>
          <w:bCs/>
          <w:szCs w:val="24"/>
        </w:rPr>
        <w:t>Lietuvos Respublikos žemės ūkio ministro</w:t>
      </w:r>
    </w:p>
    <w:p w14:paraId="70E1A614" w14:textId="77777777" w:rsidR="00A8455F" w:rsidRDefault="00164F07">
      <w:pPr>
        <w:ind w:left="5528" w:firstLine="952"/>
        <w:contextualSpacing/>
        <w:rPr>
          <w:rFonts w:eastAsia="Calibri"/>
          <w:bCs/>
          <w:szCs w:val="24"/>
        </w:rPr>
      </w:pPr>
      <w:r>
        <w:rPr>
          <w:rFonts w:eastAsia="Calibri"/>
          <w:bCs/>
          <w:szCs w:val="24"/>
        </w:rPr>
        <w:t xml:space="preserve">2014 m. lapkričio 27 d. </w:t>
      </w:r>
    </w:p>
    <w:p w14:paraId="70E1A615" w14:textId="77777777" w:rsidR="00A8455F" w:rsidRDefault="00164F07">
      <w:pPr>
        <w:ind w:left="5528" w:firstLine="952"/>
        <w:contextualSpacing/>
        <w:rPr>
          <w:rFonts w:eastAsia="Calibri"/>
          <w:bCs/>
          <w:szCs w:val="24"/>
        </w:rPr>
      </w:pPr>
      <w:r>
        <w:rPr>
          <w:rFonts w:eastAsia="Calibri"/>
          <w:bCs/>
          <w:szCs w:val="24"/>
        </w:rPr>
        <w:t xml:space="preserve">įsakymu Nr. 3D-889    </w:t>
      </w:r>
    </w:p>
    <w:p w14:paraId="70E1A616" w14:textId="77777777" w:rsidR="00A8455F" w:rsidRDefault="00A8455F">
      <w:pPr>
        <w:rPr>
          <w:szCs w:val="22"/>
        </w:rPr>
      </w:pPr>
    </w:p>
    <w:p w14:paraId="70E1A617" w14:textId="77777777" w:rsidR="00A8455F" w:rsidRDefault="00890CAB">
      <w:pPr>
        <w:ind w:firstLine="284"/>
        <w:contextualSpacing/>
        <w:jc w:val="center"/>
        <w:rPr>
          <w:rFonts w:eastAsia="Calibri"/>
          <w:b/>
          <w:szCs w:val="24"/>
          <w:lang w:eastAsia="lt-LT"/>
        </w:rPr>
      </w:pPr>
      <w:r w:rsidR="00164F07">
        <w:rPr>
          <w:rFonts w:eastAsia="Calibri"/>
          <w:b/>
          <w:szCs w:val="24"/>
          <w:lang w:eastAsia="lt-LT"/>
        </w:rPr>
        <w:t>DIRBTINAI SUKURTŲ SĄLYGŲ PARAMAI GAUTI</w:t>
      </w:r>
      <w:r w:rsidR="00164F07">
        <w:rPr>
          <w:rFonts w:eastAsia="Calibri"/>
          <w:szCs w:val="24"/>
          <w:lang w:eastAsia="lt-LT"/>
        </w:rPr>
        <w:t xml:space="preserve"> </w:t>
      </w:r>
      <w:r w:rsidR="00164F07">
        <w:rPr>
          <w:rFonts w:eastAsia="Calibri"/>
          <w:b/>
          <w:szCs w:val="24"/>
          <w:lang w:eastAsia="lt-LT"/>
        </w:rPr>
        <w:t>NUSTATYMO METODIKA</w:t>
      </w:r>
    </w:p>
    <w:p w14:paraId="70E1A618" w14:textId="77777777" w:rsidR="00A8455F" w:rsidRDefault="00A8455F">
      <w:pPr>
        <w:ind w:firstLine="344"/>
        <w:contextualSpacing/>
        <w:jc w:val="center"/>
        <w:rPr>
          <w:szCs w:val="24"/>
          <w:lang w:eastAsia="lt-LT"/>
        </w:rPr>
      </w:pPr>
    </w:p>
    <w:p w14:paraId="70E1A619" w14:textId="77777777" w:rsidR="00A8455F" w:rsidRDefault="00890CAB">
      <w:pPr>
        <w:tabs>
          <w:tab w:val="left" w:pos="2410"/>
          <w:tab w:val="left" w:pos="2694"/>
          <w:tab w:val="left" w:pos="3402"/>
        </w:tabs>
        <w:ind w:left="1985" w:firstLine="1134"/>
        <w:contextualSpacing/>
        <w:rPr>
          <w:b/>
          <w:caps/>
          <w:color w:val="000000"/>
          <w:szCs w:val="24"/>
          <w:lang w:eastAsia="lt-LT"/>
        </w:rPr>
      </w:pPr>
      <w:r w:rsidR="00164F07">
        <w:rPr>
          <w:b/>
          <w:caps/>
          <w:color w:val="000000"/>
          <w:szCs w:val="24"/>
          <w:lang w:eastAsia="lt-LT"/>
        </w:rPr>
        <w:t>I</w:t>
      </w:r>
      <w:r w:rsidR="00164F07">
        <w:rPr>
          <w:b/>
          <w:caps/>
          <w:color w:val="000000"/>
          <w:szCs w:val="24"/>
          <w:lang w:eastAsia="lt-LT"/>
        </w:rPr>
        <w:t xml:space="preserve">. </w:t>
      </w:r>
      <w:r w:rsidR="00164F07">
        <w:rPr>
          <w:b/>
          <w:caps/>
          <w:color w:val="000000"/>
          <w:szCs w:val="24"/>
          <w:lang w:eastAsia="lt-LT"/>
        </w:rPr>
        <w:t xml:space="preserve">BENDROSIOS NUOSTATOS </w:t>
      </w:r>
    </w:p>
    <w:p w14:paraId="70E1A61A" w14:textId="77777777" w:rsidR="00A8455F" w:rsidRDefault="00A8455F">
      <w:pPr>
        <w:rPr>
          <w:szCs w:val="22"/>
        </w:rPr>
      </w:pPr>
    </w:p>
    <w:p w14:paraId="70E1A61B" w14:textId="77777777" w:rsidR="00A8455F" w:rsidRDefault="00890CAB" w:rsidP="008B1E76">
      <w:pPr>
        <w:tabs>
          <w:tab w:val="left" w:pos="0"/>
          <w:tab w:val="left" w:pos="993"/>
        </w:tabs>
        <w:spacing w:line="360" w:lineRule="auto"/>
        <w:ind w:firstLine="709"/>
        <w:jc w:val="both"/>
        <w:rPr>
          <w:color w:val="000000"/>
          <w:szCs w:val="24"/>
          <w:lang w:eastAsia="lt-LT"/>
        </w:rPr>
      </w:pPr>
      <w:r w:rsidR="00164F07">
        <w:t>1</w:t>
      </w:r>
      <w:r w:rsidR="00164F07">
        <w:t xml:space="preserve">. </w:t>
      </w:r>
      <w:r w:rsidR="00164F07">
        <w:rPr>
          <w:color w:val="000000"/>
          <w:szCs w:val="24"/>
          <w:lang w:eastAsia="lt-LT"/>
        </w:rPr>
        <w:t xml:space="preserve">Dirbtinai sukurtų sąlygų paramai gauti nustatymo metodika (toliau – Metodika) nustato </w:t>
      </w:r>
      <w:r w:rsidR="00164F07">
        <w:rPr>
          <w:rFonts w:eastAsia="Calibri"/>
          <w:szCs w:val="24"/>
        </w:rPr>
        <w:t>kriterijus, kuriais</w:t>
      </w:r>
      <w:r w:rsidR="00164F07">
        <w:rPr>
          <w:rFonts w:eastAsia="Calibri"/>
          <w:color w:val="000000"/>
          <w:szCs w:val="24"/>
          <w:lang w:eastAsia="lt-LT"/>
        </w:rPr>
        <w:t xml:space="preserve"> remiantis būtų nustatomi </w:t>
      </w:r>
      <w:r w:rsidR="00164F07">
        <w:rPr>
          <w:rFonts w:eastAsia="Calibri"/>
          <w:szCs w:val="24"/>
        </w:rPr>
        <w:t>pareiškėjai arba paramos gavėjai, dirbtinai sukūrę sąlygas paramai gauti pagal Lietuvos kaimo plėtros 2014</w:t>
      </w:r>
      <w:r w:rsidR="00164F07">
        <w:rPr>
          <w:szCs w:val="24"/>
        </w:rPr>
        <w:t>–</w:t>
      </w:r>
      <w:r w:rsidR="00164F07">
        <w:rPr>
          <w:rFonts w:eastAsia="Calibri"/>
          <w:szCs w:val="24"/>
        </w:rPr>
        <w:t>2020 metų programos (toliau – KPP) priemones.</w:t>
      </w:r>
      <w:r w:rsidR="00164F07">
        <w:rPr>
          <w:color w:val="000000"/>
          <w:szCs w:val="24"/>
          <w:lang w:eastAsia="lt-LT"/>
        </w:rPr>
        <w:t xml:space="preserve"> </w:t>
      </w:r>
    </w:p>
    <w:p w14:paraId="70E1A61C" w14:textId="77777777" w:rsidR="00A8455F" w:rsidRDefault="00890CAB" w:rsidP="008B1E76">
      <w:pPr>
        <w:tabs>
          <w:tab w:val="left" w:pos="0"/>
          <w:tab w:val="left" w:pos="993"/>
        </w:tabs>
        <w:spacing w:line="360" w:lineRule="auto"/>
        <w:ind w:firstLine="709"/>
        <w:jc w:val="both"/>
        <w:rPr>
          <w:szCs w:val="24"/>
          <w:lang w:eastAsia="lt-LT"/>
        </w:rPr>
      </w:pPr>
      <w:r w:rsidR="00164F07">
        <w:rPr>
          <w:color w:val="000000"/>
          <w:szCs w:val="24"/>
          <w:lang w:eastAsia="lt-LT"/>
        </w:rPr>
        <w:t>2</w:t>
      </w:r>
      <w:r w:rsidR="00164F07">
        <w:rPr>
          <w:color w:val="000000"/>
          <w:szCs w:val="24"/>
          <w:lang w:eastAsia="lt-LT"/>
        </w:rPr>
        <w:t xml:space="preserve">. Metodika parengta atsižvelgiant į </w:t>
      </w:r>
      <w:r w:rsidR="00164F07">
        <w:rPr>
          <w:rFonts w:eastAsia="Calibri"/>
          <w:szCs w:val="24"/>
        </w:rPr>
        <w:t>Lietuvos kaimo plėtros 2014–2020 metų programos administravimo taisykles, patvirtintas Lietuvos Respublikos žemės ūkio ministro      2014 m. rugpjūčio 26 d. įsakymu Nr. 3D-507</w:t>
      </w:r>
      <w:r w:rsidR="00164F07">
        <w:rPr>
          <w:szCs w:val="24"/>
        </w:rPr>
        <w:t>„Dėl Lietuvos kaimo plėtros 2014–2020 metų programos administravimo taisyklių patvirtinimo“</w:t>
      </w:r>
      <w:r w:rsidR="00164F07">
        <w:rPr>
          <w:rFonts w:eastAsia="Calibri"/>
          <w:szCs w:val="24"/>
        </w:rPr>
        <w:t xml:space="preserve"> (toliau – administravimo taisyklės), ir vadovaujantis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su paskutiniais pakeitimais, padarytais 2013 m. gruodžio 17 d. Europos Parlamento ir Tarybos reglamentu (ES) Nr. 1310/2013 (OL 2013 L 347, p. 865), </w:t>
      </w:r>
      <w:r w:rsidR="00164F07">
        <w:rPr>
          <w:rFonts w:eastAsia="Calibri"/>
          <w:color w:val="000000"/>
          <w:szCs w:val="24"/>
          <w:lang w:eastAsia="lt-LT"/>
        </w:rPr>
        <w:t>Lietuvos Respublikos pridėtinės vertės mokesčių įstatymu, Lietuvos Respublikos smulkiojo ir vidutinio verslo plėtros įstatymu</w:t>
      </w:r>
      <w:r w:rsidR="00164F07">
        <w:rPr>
          <w:rFonts w:eastAsia="Calibri"/>
          <w:szCs w:val="24"/>
        </w:rPr>
        <w:t>, Standartu LST EN 31010:2010 „</w:t>
      </w:r>
      <w:r w:rsidR="00164F07">
        <w:rPr>
          <w:rFonts w:eastAsia="Calibri"/>
          <w:iCs/>
          <w:szCs w:val="24"/>
        </w:rPr>
        <w:t>Rizikos valdymas. Rizikos vertinimo būdai“</w:t>
      </w:r>
      <w:r w:rsidR="00164F07">
        <w:rPr>
          <w:rFonts w:eastAsia="Calibri"/>
          <w:szCs w:val="24"/>
        </w:rPr>
        <w:t>.</w:t>
      </w:r>
    </w:p>
    <w:p w14:paraId="70E1A61D" w14:textId="77777777" w:rsidR="00A8455F" w:rsidRDefault="00890CAB" w:rsidP="008B1E76">
      <w:pPr>
        <w:tabs>
          <w:tab w:val="left" w:pos="0"/>
          <w:tab w:val="left" w:pos="993"/>
        </w:tabs>
        <w:spacing w:line="360" w:lineRule="auto"/>
        <w:ind w:firstLine="709"/>
        <w:jc w:val="both"/>
        <w:rPr>
          <w:szCs w:val="24"/>
          <w:lang w:eastAsia="lt-LT"/>
        </w:rPr>
      </w:pPr>
      <w:r w:rsidR="00164F07">
        <w:rPr>
          <w:iCs/>
          <w:szCs w:val="24"/>
        </w:rPr>
        <w:t>3</w:t>
      </w:r>
      <w:r w:rsidR="00164F07">
        <w:rPr>
          <w:iCs/>
          <w:szCs w:val="24"/>
        </w:rPr>
        <w:t xml:space="preserve">. </w:t>
      </w:r>
      <w:r w:rsidR="00164F07">
        <w:rPr>
          <w:rFonts w:eastAsia="Calibri"/>
          <w:szCs w:val="24"/>
        </w:rPr>
        <w:t xml:space="preserve">Metodika turi vadovautis </w:t>
      </w:r>
      <w:r w:rsidR="00164F07">
        <w:rPr>
          <w:szCs w:val="24"/>
          <w:lang w:eastAsia="lt-LT"/>
        </w:rPr>
        <w:t xml:space="preserve">Nacionalinės mokėjimo agentūros prie Žemės ūkio ministerijos (toliau – Agentūra) valstybės tarnautojai ir darbuotojai, dirbantys pagal darbo sutartis (toliau – darbuotojai), atliekantys paraiškų vertinimą, administruojantys projekto vykdytojo arba paramos gavėjo projektus pagal KPP priemones (išskyrus priemones, kurioms ši Metodika nebus taikoma, pvz., „Techninė pagalba“). </w:t>
      </w:r>
    </w:p>
    <w:p w14:paraId="70E1A61E" w14:textId="77777777" w:rsidR="00A8455F" w:rsidRDefault="00890CAB" w:rsidP="008B1E76">
      <w:pPr>
        <w:tabs>
          <w:tab w:val="left" w:pos="993"/>
        </w:tabs>
        <w:spacing w:line="360" w:lineRule="auto"/>
        <w:ind w:firstLine="709"/>
        <w:jc w:val="both"/>
        <w:rPr>
          <w:rFonts w:eastAsia="Calibri"/>
          <w:szCs w:val="24"/>
        </w:rPr>
      </w:pPr>
      <w:r w:rsidR="00164F07">
        <w:t>4</w:t>
      </w:r>
      <w:r w:rsidR="00164F07">
        <w:t xml:space="preserve">. </w:t>
      </w:r>
      <w:r w:rsidR="00164F07">
        <w:rPr>
          <w:rFonts w:eastAsia="Calibri"/>
          <w:szCs w:val="24"/>
        </w:rPr>
        <w:t>Metodikoje vartojamos bendrosios sąvokos atitinka Metodikos 2 punkte nurodytuose teisės aktuose vartojamas sąvokas.</w:t>
      </w:r>
    </w:p>
    <w:p w14:paraId="70E1A61F" w14:textId="77777777" w:rsidR="00A8455F" w:rsidRDefault="00890CAB" w:rsidP="008B1E76">
      <w:pPr>
        <w:tabs>
          <w:tab w:val="left" w:pos="993"/>
        </w:tabs>
        <w:spacing w:line="360" w:lineRule="auto"/>
        <w:ind w:left="1429" w:hanging="720"/>
        <w:jc w:val="both"/>
        <w:rPr>
          <w:rFonts w:eastAsia="Calibri"/>
          <w:szCs w:val="24"/>
        </w:rPr>
      </w:pPr>
      <w:r w:rsidR="00164F07">
        <w:t>5</w:t>
      </w:r>
      <w:r w:rsidR="00164F07">
        <w:t xml:space="preserve">. </w:t>
      </w:r>
      <w:r w:rsidR="00164F07">
        <w:rPr>
          <w:rFonts w:eastAsia="Calibri"/>
          <w:szCs w:val="24"/>
        </w:rPr>
        <w:t>Metodikoje vartojamos specialiosios sąvokos bei sutrumpinimai:</w:t>
      </w:r>
    </w:p>
    <w:p w14:paraId="70E1A620" w14:textId="77777777" w:rsidR="00A8455F" w:rsidRDefault="00890CAB" w:rsidP="008B1E76">
      <w:pPr>
        <w:tabs>
          <w:tab w:val="left" w:pos="567"/>
          <w:tab w:val="left" w:pos="1260"/>
        </w:tabs>
        <w:spacing w:line="360" w:lineRule="auto"/>
        <w:ind w:firstLine="709"/>
        <w:jc w:val="both"/>
        <w:rPr>
          <w:rFonts w:eastAsia="Calibri"/>
          <w:szCs w:val="24"/>
        </w:rPr>
      </w:pPr>
      <w:r w:rsidR="00164F07">
        <w:rPr>
          <w:szCs w:val="22"/>
        </w:rPr>
        <w:t>5.1</w:t>
      </w:r>
      <w:r w:rsidR="00164F07">
        <w:rPr>
          <w:szCs w:val="22"/>
        </w:rPr>
        <w:t xml:space="preserve">. </w:t>
      </w:r>
      <w:r w:rsidR="00164F07">
        <w:rPr>
          <w:rFonts w:eastAsia="Calibri"/>
          <w:b/>
          <w:szCs w:val="24"/>
        </w:rPr>
        <w:t>Dirbtinai sukurtos sąlygos paramai gauti</w:t>
      </w:r>
      <w:r w:rsidR="00164F07">
        <w:rPr>
          <w:rFonts w:eastAsia="Calibri"/>
          <w:szCs w:val="24"/>
        </w:rPr>
        <w:t xml:space="preserve"> – fizinių (juridinių) asmenų tarpusavyje ir (arba) su trečiaisiais asmenimis sąmoningas veiksmų derinimas, siekiant įgyti paramos skyrimo tikslams prieštaraujantį pranašumą.</w:t>
      </w:r>
    </w:p>
    <w:p w14:paraId="70E1A621" w14:textId="77777777" w:rsidR="00A8455F" w:rsidRDefault="00890CAB" w:rsidP="008B1E76">
      <w:pPr>
        <w:tabs>
          <w:tab w:val="left" w:pos="0"/>
          <w:tab w:val="left" w:pos="993"/>
        </w:tabs>
        <w:spacing w:line="360" w:lineRule="auto"/>
        <w:ind w:firstLine="709"/>
        <w:jc w:val="both"/>
        <w:rPr>
          <w:szCs w:val="24"/>
          <w:lang w:eastAsia="lt-LT"/>
        </w:rPr>
      </w:pPr>
      <w:r w:rsidR="00164F07">
        <w:rPr>
          <w:szCs w:val="22"/>
        </w:rPr>
        <w:t>5.2</w:t>
      </w:r>
      <w:r w:rsidR="00164F07">
        <w:rPr>
          <w:szCs w:val="22"/>
        </w:rPr>
        <w:t xml:space="preserve">. </w:t>
      </w:r>
      <w:r w:rsidR="00164F07">
        <w:rPr>
          <w:b/>
          <w:szCs w:val="24"/>
        </w:rPr>
        <w:t xml:space="preserve">Funkcinis nesavarankiškumas – </w:t>
      </w:r>
      <w:r w:rsidR="00164F07">
        <w:rPr>
          <w:szCs w:val="24"/>
        </w:rPr>
        <w:t>gamybos ir techninių procesų dirbtinis išskyrimas į skirtingus projektus arba nustatytas naudojimasis bendra pagal KPP finansuojama infrastruktūra, siekiant įgyti KPP tikslams prieštaraujantį pranašumą.</w:t>
      </w:r>
    </w:p>
    <w:p w14:paraId="70E1A622" w14:textId="77777777" w:rsidR="00A8455F" w:rsidRDefault="00890CAB" w:rsidP="008B1E76">
      <w:pPr>
        <w:spacing w:line="360" w:lineRule="auto"/>
        <w:ind w:firstLine="709"/>
        <w:jc w:val="both"/>
        <w:rPr>
          <w:rFonts w:eastAsia="Calibri"/>
          <w:szCs w:val="24"/>
        </w:rPr>
      </w:pPr>
      <w:r w:rsidR="00164F07">
        <w:t>5.3</w:t>
      </w:r>
      <w:r w:rsidR="00164F07">
        <w:t xml:space="preserve">. </w:t>
      </w:r>
      <w:r w:rsidR="00164F07">
        <w:rPr>
          <w:rFonts w:eastAsia="Calibri"/>
          <w:b/>
          <w:bCs/>
          <w:szCs w:val="24"/>
        </w:rPr>
        <w:t>Partnerinės įmonės</w:t>
      </w:r>
      <w:r w:rsidR="00164F07">
        <w:rPr>
          <w:rFonts w:eastAsia="Calibri"/>
          <w:bCs/>
          <w:szCs w:val="24"/>
        </w:rPr>
        <w:t xml:space="preserve"> </w:t>
      </w:r>
      <w:r w:rsidR="00164F07">
        <w:rPr>
          <w:rFonts w:eastAsia="Calibri"/>
          <w:szCs w:val="24"/>
        </w:rPr>
        <w:t xml:space="preserve">– įmonės, pagal </w:t>
      </w:r>
      <w:r w:rsidR="00164F07">
        <w:rPr>
          <w:rFonts w:eastAsia="Calibri"/>
          <w:bCs/>
          <w:szCs w:val="24"/>
        </w:rPr>
        <w:t xml:space="preserve">Lietuvos Respublikos smulkiojo ir vidutinio verslo plėtros įstatymą (toliau – SVVĮ) </w:t>
      </w:r>
      <w:r w:rsidR="00164F07">
        <w:rPr>
          <w:rFonts w:eastAsia="Calibri"/>
          <w:szCs w:val="24"/>
        </w:rPr>
        <w:t>nepriskiriamos susijusioms įmonėms ir tiesiogiai ar netiesiogiai (per vieną ar kelias susijusias įmones) turinčios nuo 25 iki 50 procentų kitos įmonės akcijų, pajų ar kitokių dalyvavimą įmonės kapitale žyminčių kapitalo dalių arba tiesiogiai ar netiesiogiai (pagal balsavimo sutartį, balsavimo teisės</w:t>
      </w:r>
      <w:r w:rsidR="00164F07">
        <w:rPr>
          <w:rFonts w:eastAsia="Calibri"/>
          <w:b/>
          <w:bCs/>
          <w:szCs w:val="24"/>
        </w:rPr>
        <w:t xml:space="preserve"> </w:t>
      </w:r>
      <w:r w:rsidR="00164F07">
        <w:rPr>
          <w:rFonts w:eastAsia="Calibri"/>
          <w:szCs w:val="24"/>
        </w:rPr>
        <w:t>perleidimo sutartį, įgaliojimą ir pan.) turinčios</w:t>
      </w:r>
      <w:r w:rsidR="00164F07">
        <w:rPr>
          <w:rFonts w:eastAsia="Calibri"/>
          <w:b/>
          <w:bCs/>
          <w:szCs w:val="24"/>
        </w:rPr>
        <w:t xml:space="preserve"> </w:t>
      </w:r>
      <w:r w:rsidR="00164F07">
        <w:rPr>
          <w:rFonts w:eastAsia="Calibri"/>
          <w:szCs w:val="24"/>
        </w:rPr>
        <w:t>nuo 25 iki 50 procentų visų kitos įmonės dalyvių balsų.</w:t>
      </w:r>
    </w:p>
    <w:p w14:paraId="70E1A623" w14:textId="77777777" w:rsidR="00A8455F" w:rsidRDefault="00890CAB" w:rsidP="008B1E76">
      <w:pPr>
        <w:spacing w:line="360" w:lineRule="auto"/>
        <w:ind w:firstLine="709"/>
        <w:jc w:val="both"/>
        <w:rPr>
          <w:rFonts w:eastAsia="Calibri"/>
          <w:bCs/>
          <w:szCs w:val="24"/>
        </w:rPr>
      </w:pPr>
      <w:r w:rsidR="00164F07">
        <w:rPr>
          <w:rFonts w:eastAsia="Calibri"/>
          <w:szCs w:val="24"/>
        </w:rPr>
        <w:t>5.4</w:t>
      </w:r>
      <w:r w:rsidR="00164F07">
        <w:rPr>
          <w:rFonts w:eastAsia="Calibri"/>
          <w:szCs w:val="24"/>
        </w:rPr>
        <w:t xml:space="preserve">. </w:t>
      </w:r>
      <w:r w:rsidR="00164F07">
        <w:rPr>
          <w:rFonts w:eastAsia="Calibri"/>
          <w:b/>
          <w:bCs/>
          <w:szCs w:val="24"/>
        </w:rPr>
        <w:t>Rizikos kriterijus</w:t>
      </w:r>
      <w:r w:rsidR="00164F07">
        <w:rPr>
          <w:rFonts w:eastAsia="Calibri"/>
          <w:bCs/>
          <w:szCs w:val="24"/>
        </w:rPr>
        <w:t xml:space="preserve"> </w:t>
      </w:r>
      <w:r w:rsidR="00164F07">
        <w:rPr>
          <w:rFonts w:eastAsia="Calibri"/>
          <w:b/>
          <w:bCs/>
          <w:szCs w:val="24"/>
        </w:rPr>
        <w:t xml:space="preserve">– </w:t>
      </w:r>
      <w:r w:rsidR="00164F07">
        <w:rPr>
          <w:rFonts w:eastAsia="Calibri"/>
          <w:szCs w:val="24"/>
        </w:rPr>
        <w:t>vertinimo pagrindas, matas</w:t>
      </w:r>
      <w:r w:rsidR="00164F07">
        <w:rPr>
          <w:rFonts w:eastAsia="Calibri"/>
          <w:bCs/>
          <w:szCs w:val="24"/>
        </w:rPr>
        <w:t>.</w:t>
      </w:r>
    </w:p>
    <w:p w14:paraId="70E1A624" w14:textId="77777777" w:rsidR="00A8455F" w:rsidRDefault="00890CAB" w:rsidP="008B1E76">
      <w:pPr>
        <w:tabs>
          <w:tab w:val="left" w:pos="1134"/>
        </w:tabs>
        <w:spacing w:line="360" w:lineRule="auto"/>
        <w:ind w:firstLine="709"/>
        <w:jc w:val="both"/>
        <w:rPr>
          <w:rFonts w:eastAsia="Calibri"/>
          <w:bCs/>
          <w:szCs w:val="24"/>
        </w:rPr>
      </w:pPr>
      <w:r w:rsidR="00164F07">
        <w:rPr>
          <w:rFonts w:eastAsia="Calibri"/>
          <w:bCs/>
          <w:szCs w:val="24"/>
        </w:rPr>
        <w:t>5.5</w:t>
      </w:r>
      <w:r w:rsidR="00164F07">
        <w:rPr>
          <w:rFonts w:eastAsia="Calibri"/>
          <w:bCs/>
          <w:szCs w:val="24"/>
        </w:rPr>
        <w:t xml:space="preserve">. </w:t>
      </w:r>
      <w:r w:rsidR="00164F07">
        <w:rPr>
          <w:rFonts w:eastAsia="Calibri"/>
          <w:b/>
          <w:bCs/>
          <w:szCs w:val="24"/>
        </w:rPr>
        <w:t>Susijusios įmonės</w:t>
      </w:r>
      <w:r w:rsidR="00164F07">
        <w:rPr>
          <w:rFonts w:eastAsia="Calibri"/>
          <w:bCs/>
          <w:szCs w:val="24"/>
        </w:rPr>
        <w:t xml:space="preserve"> – SVVĮ apibrėžtos įmonės, kurias sieja kuris nors iš šių ryšių:</w:t>
      </w:r>
    </w:p>
    <w:p w14:paraId="70E1A625" w14:textId="77777777" w:rsidR="00A8455F" w:rsidRDefault="00890CAB" w:rsidP="008B1E76">
      <w:pPr>
        <w:spacing w:line="360" w:lineRule="auto"/>
        <w:ind w:firstLine="709"/>
        <w:jc w:val="both"/>
        <w:rPr>
          <w:rFonts w:eastAsia="Calibri"/>
          <w:bCs/>
          <w:szCs w:val="24"/>
        </w:rPr>
      </w:pPr>
      <w:r w:rsidR="00164F07">
        <w:rPr>
          <w:rFonts w:eastAsia="Calibri"/>
          <w:bCs/>
          <w:szCs w:val="24"/>
        </w:rPr>
        <w:t>5.5.1</w:t>
      </w:r>
      <w:r w:rsidR="00164F07">
        <w:rPr>
          <w:rFonts w:eastAsia="Calibri"/>
          <w:bCs/>
          <w:szCs w:val="24"/>
        </w:rPr>
        <w:t>. viena įmonė turi daugumą dalyvių balsų kitoje įmonėje;</w:t>
      </w:r>
    </w:p>
    <w:p w14:paraId="70E1A626" w14:textId="77777777" w:rsidR="00A8455F" w:rsidRDefault="00890CAB" w:rsidP="008B1E76">
      <w:pPr>
        <w:spacing w:line="360" w:lineRule="auto"/>
        <w:ind w:firstLine="709"/>
        <w:jc w:val="both"/>
        <w:rPr>
          <w:rFonts w:eastAsia="Calibri"/>
          <w:bCs/>
          <w:szCs w:val="24"/>
        </w:rPr>
      </w:pPr>
      <w:r w:rsidR="00164F07">
        <w:rPr>
          <w:rFonts w:eastAsia="Calibri"/>
          <w:bCs/>
          <w:szCs w:val="24"/>
        </w:rPr>
        <w:t>5.5.2</w:t>
      </w:r>
      <w:r w:rsidR="00164F07">
        <w:rPr>
          <w:rFonts w:eastAsia="Calibri"/>
          <w:bCs/>
          <w:szCs w:val="24"/>
        </w:rPr>
        <w:t>. viena įmonė turi teisę skirti ir atšaukti daugumą kitos įmonės valdymo ar priežiūros organo narių ar administracijos pareigūnų;</w:t>
      </w:r>
    </w:p>
    <w:p w14:paraId="70E1A627" w14:textId="77777777" w:rsidR="00A8455F" w:rsidRDefault="00890CAB" w:rsidP="008B1E76">
      <w:pPr>
        <w:spacing w:line="360" w:lineRule="auto"/>
        <w:ind w:firstLine="709"/>
        <w:jc w:val="both"/>
        <w:rPr>
          <w:rFonts w:eastAsia="Calibri"/>
          <w:bCs/>
          <w:szCs w:val="24"/>
        </w:rPr>
      </w:pPr>
      <w:r w:rsidR="00164F07">
        <w:rPr>
          <w:rFonts w:eastAsia="Calibri"/>
          <w:bCs/>
          <w:szCs w:val="24"/>
        </w:rPr>
        <w:t>5.5.3</w:t>
      </w:r>
      <w:r w:rsidR="00164F07">
        <w:rPr>
          <w:rFonts w:eastAsia="Calibri"/>
          <w:bCs/>
          <w:szCs w:val="24"/>
        </w:rPr>
        <w:t>. įmonė turi galimybę daryti lemiamą poveikį kitai įmonei dėl sutarčių, sudarytų su šia įmone, arba dėl šios įmonės steigimo dokumentų nuostatų;</w:t>
      </w:r>
    </w:p>
    <w:p w14:paraId="70E1A628" w14:textId="77777777" w:rsidR="00A8455F" w:rsidRDefault="00890CAB" w:rsidP="008B1E76">
      <w:pPr>
        <w:spacing w:line="360" w:lineRule="auto"/>
        <w:ind w:firstLine="709"/>
        <w:jc w:val="both"/>
        <w:rPr>
          <w:rFonts w:eastAsia="Calibri"/>
          <w:bCs/>
          <w:szCs w:val="24"/>
        </w:rPr>
      </w:pPr>
      <w:r w:rsidR="00164F07">
        <w:rPr>
          <w:rFonts w:eastAsia="Calibri"/>
          <w:bCs/>
          <w:szCs w:val="24"/>
        </w:rPr>
        <w:t>5.5.4</w:t>
      </w:r>
      <w:r w:rsidR="00164F07">
        <w:rPr>
          <w:rFonts w:eastAsia="Calibri"/>
          <w:bCs/>
          <w:szCs w:val="24"/>
        </w:rPr>
        <w:t>. įmonė, kuri dėl sutarčių, sudarytų su kitos įmonės dalyviais, kontroliuoja daugumą šios įmonės dalyvių balsų;</w:t>
      </w:r>
    </w:p>
    <w:p w14:paraId="70E1A629" w14:textId="77777777" w:rsidR="00A8455F" w:rsidRDefault="00890CAB" w:rsidP="008B1E76">
      <w:pPr>
        <w:spacing w:line="360" w:lineRule="auto"/>
        <w:ind w:firstLine="709"/>
        <w:jc w:val="both"/>
        <w:rPr>
          <w:rFonts w:eastAsia="Calibri"/>
          <w:bCs/>
          <w:szCs w:val="24"/>
        </w:rPr>
      </w:pPr>
      <w:r w:rsidR="00164F07">
        <w:rPr>
          <w:rFonts w:eastAsia="Calibri"/>
          <w:bCs/>
          <w:szCs w:val="24"/>
        </w:rPr>
        <w:t>5.5.5</w:t>
      </w:r>
      <w:r w:rsidR="00164F07">
        <w:rPr>
          <w:rFonts w:eastAsia="Calibri"/>
          <w:bCs/>
          <w:szCs w:val="24"/>
        </w:rPr>
        <w:t>. dėl to paties fizinio asmens ar kartu veikiančių fizinių asmenų veiklos susiformavę šios Metodikos 5.5.1–5.5.4 papunkčiuose nurodyti įmonių ryšiai, jei šios įmonės verčiasi tokia pačia veikla ar tokios pačios veiklos dalimi toje pačioje atitinkamoje rinkoje ar susijusiose rinkose.</w:t>
      </w:r>
    </w:p>
    <w:p w14:paraId="70E1A62A" w14:textId="77777777" w:rsidR="00A8455F" w:rsidRDefault="00890CAB" w:rsidP="008B1E76">
      <w:pPr>
        <w:tabs>
          <w:tab w:val="left" w:pos="0"/>
          <w:tab w:val="left" w:pos="993"/>
        </w:tabs>
        <w:spacing w:line="360" w:lineRule="auto"/>
        <w:ind w:firstLine="709"/>
        <w:jc w:val="both"/>
        <w:rPr>
          <w:iCs/>
          <w:szCs w:val="24"/>
        </w:rPr>
      </w:pPr>
      <w:r w:rsidR="00164F07">
        <w:rPr>
          <w:rFonts w:eastAsia="Calibri"/>
          <w:szCs w:val="24"/>
        </w:rPr>
        <w:t>6</w:t>
      </w:r>
      <w:r w:rsidR="00164F07">
        <w:rPr>
          <w:rFonts w:eastAsia="Calibri"/>
          <w:szCs w:val="24"/>
        </w:rPr>
        <w:t>. J</w:t>
      </w:r>
      <w:r w:rsidR="00164F07">
        <w:rPr>
          <w:color w:val="000000"/>
          <w:szCs w:val="24"/>
          <w:lang w:eastAsia="lt-LT"/>
        </w:rPr>
        <w:t xml:space="preserve">ei projektas pagal Metodikoje detalizuotus kriterijus, atitinka </w:t>
      </w:r>
      <w:r w:rsidR="00164F07">
        <w:rPr>
          <w:szCs w:val="24"/>
        </w:rPr>
        <w:t xml:space="preserve">dirbtinai sukurtas sąlygas paramai gauti, </w:t>
      </w:r>
      <w:r w:rsidR="00164F07">
        <w:rPr>
          <w:iCs/>
          <w:szCs w:val="24"/>
        </w:rPr>
        <w:t xml:space="preserve">būtina papildomai įvertinti (atsižvelgiant į </w:t>
      </w:r>
      <w:r w:rsidR="00164F07">
        <w:rPr>
          <w:szCs w:val="24"/>
        </w:rPr>
        <w:t>Europos Sąjungos Teisingumo Teismo sprendimą byloje C-434/12)</w:t>
      </w:r>
      <w:r w:rsidR="00164F07">
        <w:rPr>
          <w:iCs/>
          <w:szCs w:val="24"/>
        </w:rPr>
        <w:t>:</w:t>
      </w:r>
    </w:p>
    <w:p w14:paraId="70E1A62B" w14:textId="77777777" w:rsidR="00A8455F" w:rsidRDefault="00890CAB" w:rsidP="008B1E76">
      <w:pPr>
        <w:tabs>
          <w:tab w:val="left" w:pos="0"/>
          <w:tab w:val="left" w:pos="993"/>
        </w:tabs>
        <w:spacing w:line="360" w:lineRule="auto"/>
        <w:ind w:firstLine="709"/>
        <w:jc w:val="both"/>
        <w:rPr>
          <w:iCs/>
          <w:szCs w:val="24"/>
        </w:rPr>
      </w:pPr>
      <w:r w:rsidR="00164F07">
        <w:rPr>
          <w:iCs/>
          <w:szCs w:val="24"/>
        </w:rPr>
        <w:t>6.1</w:t>
      </w:r>
      <w:r w:rsidR="00164F07">
        <w:rPr>
          <w:iCs/>
          <w:szCs w:val="24"/>
        </w:rPr>
        <w:t>. objektyvias aplinkybes, kuriomis remiantis daroma išvada, kad nebus galima pasiekti KPP siekiamų tikslų;</w:t>
      </w:r>
    </w:p>
    <w:p w14:paraId="70E1A62C" w14:textId="77777777" w:rsidR="00A8455F" w:rsidRDefault="00890CAB" w:rsidP="008B1E76">
      <w:pPr>
        <w:tabs>
          <w:tab w:val="left" w:pos="0"/>
          <w:tab w:val="left" w:pos="993"/>
        </w:tabs>
        <w:spacing w:line="360" w:lineRule="auto"/>
        <w:ind w:firstLine="709"/>
        <w:jc w:val="both"/>
        <w:rPr>
          <w:szCs w:val="24"/>
          <w:lang w:eastAsia="lt-LT"/>
        </w:rPr>
      </w:pPr>
      <w:r w:rsidR="00164F07">
        <w:rPr>
          <w:iCs/>
          <w:szCs w:val="24"/>
        </w:rPr>
        <w:t>6.2</w:t>
      </w:r>
      <w:r w:rsidR="00164F07">
        <w:rPr>
          <w:iCs/>
          <w:szCs w:val="24"/>
        </w:rPr>
        <w:t xml:space="preserve">. subjektyvias aplinkybes, kuriomis remiantis daroma išvada, kad dirbtinai sukūręs sąlygas, </w:t>
      </w:r>
      <w:r w:rsidR="00164F07">
        <w:rPr>
          <w:szCs w:val="24"/>
        </w:rPr>
        <w:t>pareiškėjas arba paramos gavėjas</w:t>
      </w:r>
      <w:r w:rsidR="00164F07">
        <w:rPr>
          <w:iCs/>
          <w:szCs w:val="24"/>
        </w:rPr>
        <w:t xml:space="preserve"> išimtinai siekė įgyti paramos skyrimo tikslams prieštaraujantį pranašumą.</w:t>
      </w:r>
    </w:p>
    <w:p w14:paraId="70E1A62D" w14:textId="77777777" w:rsidR="00A8455F" w:rsidRDefault="00890CAB" w:rsidP="008B1E76">
      <w:pPr>
        <w:tabs>
          <w:tab w:val="left" w:pos="0"/>
          <w:tab w:val="left" w:pos="993"/>
        </w:tabs>
        <w:spacing w:line="360" w:lineRule="auto"/>
        <w:ind w:firstLine="709"/>
        <w:jc w:val="both"/>
        <w:rPr>
          <w:iCs/>
          <w:szCs w:val="24"/>
        </w:rPr>
      </w:pPr>
      <w:r w:rsidR="00164F07">
        <w:t>7</w:t>
      </w:r>
      <w:r w:rsidR="00164F07">
        <w:t xml:space="preserve">. </w:t>
      </w:r>
      <w:r w:rsidR="00164F07">
        <w:rPr>
          <w:iCs/>
          <w:szCs w:val="24"/>
        </w:rPr>
        <w:t xml:space="preserve">Nustatydama dirbtinai sukurtas sąlygas paramai gauti, Agentūra gali remtis ne vien tokiais elementais, kaip teisiniai, geografiniai, ekonominiai ir (arba) asmeniniai su panašiais investiciniais projektais susijusių asmenų ryšiai, bet ir požymiais, liudijančiais, kad būta sąmoningo asmenų veiksmų derinimo, (pvz., </w:t>
      </w:r>
      <w:r w:rsidR="00164F07">
        <w:rPr>
          <w:szCs w:val="24"/>
        </w:rPr>
        <w:t xml:space="preserve">nustatoma arba pastebima, kad skirtingi subjektai sukūrė teisinę struktūrą, leidžiančią jiems apeiti teisės aktuose nustatytus apribojimus, arba tarp </w:t>
      </w:r>
      <w:r w:rsidR="00164F07">
        <w:rPr>
          <w:szCs w:val="24"/>
        </w:rPr>
        <w:lastRenderedPageBreak/>
        <w:t>pareiškėjų ir (arba) paramos gavėjų nustatomas tyčinis veiksmų koordinavimas, dirbtinai sukuriant pagal tam tikrai priemonei paramai gauti būtinas sąlygas)</w:t>
      </w:r>
      <w:r w:rsidR="00164F07">
        <w:rPr>
          <w:iCs/>
          <w:szCs w:val="24"/>
        </w:rPr>
        <w:t>.</w:t>
      </w:r>
    </w:p>
    <w:p w14:paraId="70E1A62E" w14:textId="77777777" w:rsidR="00A8455F" w:rsidRDefault="00890CAB">
      <w:pPr>
        <w:spacing w:line="360" w:lineRule="auto"/>
        <w:ind w:firstLine="1418"/>
        <w:jc w:val="both"/>
        <w:rPr>
          <w:rFonts w:eastAsia="Calibri"/>
          <w:bCs/>
          <w:szCs w:val="24"/>
        </w:rPr>
      </w:pPr>
    </w:p>
    <w:p w14:paraId="70E1A62F" w14:textId="77777777" w:rsidR="00A8455F" w:rsidRDefault="00890CAB">
      <w:pPr>
        <w:tabs>
          <w:tab w:val="left" w:pos="1418"/>
        </w:tabs>
        <w:ind w:left="425" w:firstLine="425"/>
        <w:jc w:val="center"/>
        <w:rPr>
          <w:b/>
          <w:caps/>
          <w:color w:val="000000"/>
          <w:szCs w:val="24"/>
          <w:lang w:eastAsia="lt-LT"/>
        </w:rPr>
      </w:pPr>
      <w:r w:rsidR="00164F07">
        <w:rPr>
          <w:b/>
          <w:caps/>
          <w:color w:val="000000"/>
          <w:szCs w:val="24"/>
          <w:lang w:eastAsia="lt-LT"/>
        </w:rPr>
        <w:t>II</w:t>
      </w:r>
      <w:r w:rsidR="00164F07">
        <w:rPr>
          <w:b/>
          <w:caps/>
          <w:color w:val="000000"/>
          <w:szCs w:val="24"/>
          <w:lang w:eastAsia="lt-LT"/>
        </w:rPr>
        <w:t xml:space="preserve">. </w:t>
      </w:r>
      <w:r w:rsidR="00164F07">
        <w:rPr>
          <w:b/>
          <w:caps/>
          <w:color w:val="000000"/>
          <w:szCs w:val="24"/>
          <w:lang w:eastAsia="lt-LT"/>
        </w:rPr>
        <w:t xml:space="preserve">KRITERIJŲ </w:t>
      </w:r>
      <w:r w:rsidR="00164F07">
        <w:rPr>
          <w:rFonts w:eastAsia="Calibri"/>
          <w:b/>
          <w:szCs w:val="24"/>
          <w:lang w:eastAsia="lt-LT"/>
        </w:rPr>
        <w:t>DĖL DIRBTINAI SUKURTŲ SĄLYGŲ PARAMAI GAUTI</w:t>
      </w:r>
      <w:r w:rsidR="00164F07">
        <w:rPr>
          <w:rFonts w:eastAsia="Calibri"/>
          <w:szCs w:val="24"/>
          <w:lang w:eastAsia="lt-LT"/>
        </w:rPr>
        <w:t xml:space="preserve"> </w:t>
      </w:r>
      <w:r w:rsidR="00164F07">
        <w:rPr>
          <w:rFonts w:eastAsia="Calibri"/>
          <w:b/>
          <w:szCs w:val="24"/>
          <w:lang w:eastAsia="lt-LT"/>
        </w:rPr>
        <w:t>NUSTATYMO</w:t>
      </w:r>
      <w:r w:rsidR="00164F07">
        <w:rPr>
          <w:b/>
          <w:caps/>
          <w:color w:val="000000"/>
          <w:szCs w:val="24"/>
          <w:lang w:eastAsia="lt-LT"/>
        </w:rPr>
        <w:t xml:space="preserve"> PRINCIPAI VERTINANT PAREIŠKĖJO TINKAMUMĄ </w:t>
      </w:r>
    </w:p>
    <w:p w14:paraId="70E1A630" w14:textId="77777777" w:rsidR="00A8455F" w:rsidRDefault="00A8455F">
      <w:pPr>
        <w:spacing w:line="360" w:lineRule="auto"/>
        <w:ind w:firstLine="1418"/>
        <w:jc w:val="both"/>
        <w:rPr>
          <w:rFonts w:eastAsia="Calibri"/>
          <w:sz w:val="22"/>
          <w:szCs w:val="22"/>
          <w:lang w:eastAsia="lt-LT"/>
        </w:rPr>
      </w:pPr>
    </w:p>
    <w:p w14:paraId="70E1A631" w14:textId="77777777" w:rsidR="00A8455F" w:rsidRDefault="00890CAB" w:rsidP="008B1E76">
      <w:pPr>
        <w:tabs>
          <w:tab w:val="left" w:pos="993"/>
        </w:tabs>
        <w:spacing w:line="360" w:lineRule="auto"/>
        <w:ind w:firstLine="709"/>
        <w:jc w:val="both"/>
        <w:rPr>
          <w:szCs w:val="24"/>
          <w:lang w:eastAsia="lt-LT"/>
        </w:rPr>
      </w:pPr>
      <w:r w:rsidR="00164F07">
        <w:rPr>
          <w:rFonts w:eastAsia="Calibri"/>
          <w:color w:val="000000"/>
          <w:szCs w:val="24"/>
          <w:lang w:eastAsia="lt-LT"/>
        </w:rPr>
        <w:t>8</w:t>
      </w:r>
      <w:r w:rsidR="00164F07">
        <w:rPr>
          <w:rFonts w:eastAsia="Calibri"/>
          <w:color w:val="000000"/>
          <w:szCs w:val="24"/>
          <w:lang w:eastAsia="lt-LT"/>
        </w:rPr>
        <w:t xml:space="preserve">. Darbuotojas, vadovaudamasis </w:t>
      </w:r>
      <w:r w:rsidR="00164F07">
        <w:rPr>
          <w:rFonts w:eastAsia="Calibri"/>
          <w:szCs w:val="24"/>
        </w:rPr>
        <w:t xml:space="preserve">nešališkumo ir teisingumo principais, </w:t>
      </w:r>
      <w:r w:rsidR="00164F07">
        <w:rPr>
          <w:rFonts w:eastAsia="Calibri"/>
          <w:color w:val="000000"/>
          <w:szCs w:val="24"/>
          <w:lang w:eastAsia="lt-LT"/>
        </w:rPr>
        <w:t>paraiškos vertinimo metu</w:t>
      </w:r>
      <w:r w:rsidR="00164F07">
        <w:rPr>
          <w:color w:val="000000"/>
          <w:szCs w:val="24"/>
          <w:lang w:eastAsia="lt-LT"/>
        </w:rPr>
        <w:t xml:space="preserve"> pagal duomenis, esančius Agentūros informacinėse sistemose ir (arba) pateiktus su paraiška, taip pat projekto vertinimo metu gautuose dokumentuose nustatęs ir (arba) pastebėjęs (pvz., remiantis išorės registrais), kad projektas susijęs su kitais Agentūroje vertinamais ar įvertintais arba administruojamais projektais, nustato, kad yra sukurtos dirbtinės sąlygos paramai gauti pagal tris ir daugiau rizikos kriterijų:</w:t>
      </w:r>
    </w:p>
    <w:p w14:paraId="70E1A632" w14:textId="77777777" w:rsidR="00A8455F" w:rsidRDefault="00890CAB" w:rsidP="008B1E76">
      <w:pPr>
        <w:tabs>
          <w:tab w:val="left" w:pos="993"/>
        </w:tabs>
        <w:spacing w:line="360" w:lineRule="auto"/>
        <w:ind w:left="1418" w:hanging="709"/>
        <w:contextualSpacing/>
        <w:jc w:val="both"/>
        <w:rPr>
          <w:color w:val="000000"/>
          <w:szCs w:val="24"/>
          <w:lang w:eastAsia="lt-LT"/>
        </w:rPr>
      </w:pPr>
      <w:r w:rsidR="00164F07">
        <w:t>8.1</w:t>
      </w:r>
      <w:r w:rsidR="00164F07">
        <w:t xml:space="preserve">. </w:t>
      </w:r>
      <w:r w:rsidR="00164F07">
        <w:rPr>
          <w:color w:val="000000"/>
          <w:szCs w:val="24"/>
          <w:lang w:eastAsia="lt-LT"/>
        </w:rPr>
        <w:t>dėl projekto įgyvendinimo vietos;</w:t>
      </w:r>
    </w:p>
    <w:p w14:paraId="70E1A633" w14:textId="77777777" w:rsidR="00A8455F" w:rsidRDefault="00890CAB" w:rsidP="008B1E76">
      <w:pPr>
        <w:tabs>
          <w:tab w:val="left" w:pos="993"/>
        </w:tabs>
        <w:spacing w:line="360" w:lineRule="auto"/>
        <w:ind w:left="1418" w:hanging="709"/>
        <w:contextualSpacing/>
        <w:jc w:val="both"/>
        <w:rPr>
          <w:color w:val="000000"/>
          <w:szCs w:val="24"/>
          <w:lang w:eastAsia="lt-LT"/>
        </w:rPr>
      </w:pPr>
      <w:r w:rsidR="00164F07">
        <w:rPr>
          <w:color w:val="000000"/>
          <w:szCs w:val="24"/>
          <w:lang w:eastAsia="lt-LT"/>
        </w:rPr>
        <w:t>8.2</w:t>
      </w:r>
      <w:r w:rsidR="00164F07">
        <w:rPr>
          <w:color w:val="000000"/>
          <w:szCs w:val="24"/>
          <w:lang w:eastAsia="lt-LT"/>
        </w:rPr>
        <w:t>. dėl projekte numatytos vykdyti arba vykdomos veiklos;</w:t>
      </w:r>
    </w:p>
    <w:p w14:paraId="70E1A634" w14:textId="77777777" w:rsidR="00A8455F" w:rsidRDefault="00890CAB" w:rsidP="008B1E76">
      <w:pPr>
        <w:tabs>
          <w:tab w:val="left" w:pos="993"/>
        </w:tabs>
        <w:spacing w:line="360" w:lineRule="auto"/>
        <w:ind w:left="1418" w:hanging="709"/>
        <w:contextualSpacing/>
        <w:jc w:val="both"/>
        <w:rPr>
          <w:color w:val="000000"/>
          <w:szCs w:val="24"/>
          <w:lang w:eastAsia="lt-LT"/>
        </w:rPr>
      </w:pPr>
      <w:r w:rsidR="00164F07">
        <w:rPr>
          <w:color w:val="000000"/>
          <w:szCs w:val="24"/>
          <w:lang w:eastAsia="lt-LT"/>
        </w:rPr>
        <w:t>8.3</w:t>
      </w:r>
      <w:r w:rsidR="00164F07">
        <w:rPr>
          <w:color w:val="000000"/>
          <w:szCs w:val="24"/>
          <w:lang w:eastAsia="lt-LT"/>
        </w:rPr>
        <w:t>. dėl susijusių asmenų arba susijusių projektų arba partnerinių įmonių;</w:t>
      </w:r>
    </w:p>
    <w:p w14:paraId="70E1A635" w14:textId="77777777" w:rsidR="00A8455F" w:rsidRDefault="00890CAB" w:rsidP="008B1E76">
      <w:pPr>
        <w:tabs>
          <w:tab w:val="left" w:pos="993"/>
        </w:tabs>
        <w:spacing w:line="360" w:lineRule="auto"/>
        <w:ind w:left="1418" w:hanging="709"/>
        <w:contextualSpacing/>
        <w:jc w:val="both"/>
        <w:rPr>
          <w:color w:val="000000"/>
          <w:szCs w:val="24"/>
          <w:lang w:eastAsia="lt-LT"/>
        </w:rPr>
      </w:pPr>
      <w:r w:rsidR="00164F07">
        <w:rPr>
          <w:color w:val="000000"/>
          <w:szCs w:val="24"/>
          <w:lang w:eastAsia="lt-LT"/>
        </w:rPr>
        <w:t>8.4</w:t>
      </w:r>
      <w:r w:rsidR="00164F07">
        <w:rPr>
          <w:color w:val="000000"/>
          <w:szCs w:val="24"/>
          <w:lang w:eastAsia="lt-LT"/>
        </w:rPr>
        <w:t>. dėl pareiškėjo arba paramos gavėjo patirties įgyvendinant paramos projektą,</w:t>
      </w:r>
    </w:p>
    <w:p w14:paraId="70E1A636" w14:textId="77777777" w:rsidR="00A8455F" w:rsidRDefault="00164F07">
      <w:pPr>
        <w:tabs>
          <w:tab w:val="left" w:pos="993"/>
        </w:tabs>
        <w:spacing w:line="360" w:lineRule="auto"/>
        <w:ind w:left="993" w:hanging="993"/>
        <w:contextualSpacing/>
        <w:jc w:val="both"/>
        <w:rPr>
          <w:rFonts w:eastAsia="Calibri"/>
          <w:szCs w:val="24"/>
        </w:rPr>
      </w:pPr>
      <w:r>
        <w:rPr>
          <w:color w:val="000000"/>
          <w:szCs w:val="24"/>
          <w:lang w:eastAsia="lt-LT"/>
        </w:rPr>
        <w:t>kurie detalizuoti Metodikos 1 priede.</w:t>
      </w:r>
    </w:p>
    <w:p w14:paraId="70E1A637" w14:textId="77777777" w:rsidR="00A8455F" w:rsidRDefault="00890CAB" w:rsidP="008B1E76">
      <w:pPr>
        <w:tabs>
          <w:tab w:val="left" w:pos="993"/>
        </w:tabs>
        <w:spacing w:line="360" w:lineRule="auto"/>
        <w:ind w:firstLine="709"/>
        <w:jc w:val="both"/>
        <w:rPr>
          <w:szCs w:val="24"/>
          <w:lang w:eastAsia="lt-LT"/>
        </w:rPr>
      </w:pPr>
      <w:r w:rsidR="00164F07">
        <w:t>9</w:t>
      </w:r>
      <w:r w:rsidR="00164F07">
        <w:t xml:space="preserve">. </w:t>
      </w:r>
      <w:r w:rsidR="00164F07">
        <w:rPr>
          <w:rFonts w:eastAsia="Calibri"/>
          <w:szCs w:val="24"/>
        </w:rPr>
        <w:t xml:space="preserve">Tuo atveju, jei paramos paraiška atitinka </w:t>
      </w:r>
      <w:r w:rsidR="00164F07">
        <w:rPr>
          <w:szCs w:val="24"/>
          <w:lang w:eastAsia="lt-LT"/>
        </w:rPr>
        <w:t xml:space="preserve">KPP programos priemonių </w:t>
      </w:r>
      <w:r w:rsidR="00164F07">
        <w:rPr>
          <w:rFonts w:eastAsia="Calibri"/>
          <w:szCs w:val="24"/>
        </w:rPr>
        <w:t xml:space="preserve">įgyvendinimo taisyklėse nustatytas paramos paraiškų tinkamumo sąlygas ir reikalavimus bei atrankos kriterijus, tačiau projektas arba projektai atitinka tris ir daugiau Metodikos 1 </w:t>
      </w:r>
      <w:r w:rsidR="00164F07">
        <w:rPr>
          <w:rFonts w:eastAsia="Calibri"/>
          <w:color w:val="000000"/>
          <w:szCs w:val="24"/>
        </w:rPr>
        <w:t>priede</w:t>
      </w:r>
      <w:r w:rsidR="00164F07">
        <w:rPr>
          <w:rFonts w:eastAsia="Calibri"/>
          <w:szCs w:val="24"/>
        </w:rPr>
        <w:t xml:space="preserve"> pateiktų detalizuotų rizikos kriterijų, laikoma, kad pareiškėjas arba pareiškėjai dirbtinai sukūrė paramai gauti reikalingas sąlygas ir todėl paraiška įvertinama kaip neatitinkanti priemonės įgyvendinimo taisyklėse nustatyto tinkamumo kriterijaus. </w:t>
      </w:r>
    </w:p>
    <w:p w14:paraId="70E1A63B" w14:textId="4FB31A9A" w:rsidR="00A8455F" w:rsidRDefault="00890CAB" w:rsidP="008B1E76">
      <w:pPr>
        <w:spacing w:line="360" w:lineRule="auto"/>
        <w:ind w:firstLine="720"/>
        <w:jc w:val="both"/>
        <w:rPr>
          <w:rFonts w:eastAsia="Calibri"/>
          <w:szCs w:val="24"/>
        </w:rPr>
      </w:pPr>
      <w:r w:rsidR="00164F07">
        <w:t>10</w:t>
      </w:r>
      <w:r w:rsidR="00164F07">
        <w:t xml:space="preserve">. </w:t>
      </w:r>
      <w:r w:rsidR="00164F07">
        <w:rPr>
          <w:rFonts w:eastAsia="Calibri"/>
          <w:szCs w:val="24"/>
        </w:rPr>
        <w:t xml:space="preserve">Apie atvejus, </w:t>
      </w:r>
      <w:r w:rsidR="00164F07">
        <w:rPr>
          <w:szCs w:val="24"/>
          <w:lang w:eastAsia="lt-LT"/>
        </w:rPr>
        <w:t xml:space="preserve">kai pareiškėjas arba pareiškėjai dirbtinai sukūrė paramai gauti reikalingas sąlygas, kaip nurodyta Metodikos 8 punkte, Agentūra, vadovaudamasi </w:t>
      </w:r>
      <w:r w:rsidR="00164F07">
        <w:rPr>
          <w:rFonts w:eastAsia="Calibri"/>
          <w:szCs w:val="24"/>
        </w:rPr>
        <w:t>administravimo taisyklėmis</w:t>
      </w:r>
      <w:r w:rsidR="00164F07">
        <w:rPr>
          <w:szCs w:val="24"/>
          <w:lang w:eastAsia="lt-LT"/>
        </w:rPr>
        <w:t xml:space="preserve">, informuoja </w:t>
      </w:r>
      <w:r w:rsidR="00164F07">
        <w:rPr>
          <w:rFonts w:eastAsia="Calibri"/>
          <w:szCs w:val="24"/>
        </w:rPr>
        <w:t>teisėsaugos institucijas ir apie tai praneša Žemės ūkio ministerijai.</w:t>
      </w:r>
    </w:p>
    <w:p w14:paraId="70E1A63C" w14:textId="77777777" w:rsidR="00A8455F" w:rsidRDefault="00890CAB">
      <w:pPr>
        <w:tabs>
          <w:tab w:val="left" w:pos="851"/>
        </w:tabs>
        <w:contextualSpacing/>
        <w:jc w:val="center"/>
        <w:rPr>
          <w:szCs w:val="24"/>
          <w:lang w:eastAsia="lt-LT"/>
        </w:rPr>
      </w:pPr>
      <w:r w:rsidR="00164F07">
        <w:rPr>
          <w:b/>
        </w:rPr>
        <w:t>III</w:t>
      </w:r>
      <w:r w:rsidR="00164F07">
        <w:t xml:space="preserve">. </w:t>
      </w:r>
      <w:r w:rsidR="00164F07">
        <w:rPr>
          <w:b/>
          <w:caps/>
          <w:color w:val="000000"/>
          <w:szCs w:val="24"/>
          <w:lang w:eastAsia="lt-LT"/>
        </w:rPr>
        <w:t xml:space="preserve">KRITERIJŲ </w:t>
      </w:r>
      <w:r w:rsidR="00164F07">
        <w:rPr>
          <w:rFonts w:eastAsia="Calibri"/>
          <w:b/>
          <w:szCs w:val="24"/>
          <w:lang w:eastAsia="lt-LT"/>
        </w:rPr>
        <w:t>DĖL DIRBTINAI SUKURTŲ SĄLYGŲ PARAMAI GAUTI</w:t>
      </w:r>
      <w:r w:rsidR="00164F07">
        <w:rPr>
          <w:rFonts w:eastAsia="Calibri"/>
          <w:szCs w:val="24"/>
          <w:lang w:eastAsia="lt-LT"/>
        </w:rPr>
        <w:t xml:space="preserve"> </w:t>
      </w:r>
      <w:r w:rsidR="00164F07">
        <w:rPr>
          <w:rFonts w:eastAsia="Calibri"/>
          <w:b/>
          <w:szCs w:val="24"/>
          <w:lang w:eastAsia="lt-LT"/>
        </w:rPr>
        <w:t>NUSTATYMO</w:t>
      </w:r>
      <w:r w:rsidR="00164F07">
        <w:rPr>
          <w:b/>
          <w:caps/>
          <w:color w:val="000000"/>
          <w:szCs w:val="24"/>
          <w:lang w:eastAsia="lt-LT"/>
        </w:rPr>
        <w:t xml:space="preserve"> PRINCIPAI ADMINISTRUOJANT PROJEKTĄ</w:t>
      </w:r>
    </w:p>
    <w:p w14:paraId="70E1A63D" w14:textId="77777777" w:rsidR="00A8455F" w:rsidRDefault="00A8455F">
      <w:pPr>
        <w:spacing w:line="360" w:lineRule="auto"/>
        <w:jc w:val="center"/>
        <w:rPr>
          <w:szCs w:val="22"/>
        </w:rPr>
      </w:pPr>
    </w:p>
    <w:p w14:paraId="70E1A63E" w14:textId="77777777" w:rsidR="00A8455F" w:rsidRDefault="00890CAB" w:rsidP="008B1E76">
      <w:pPr>
        <w:tabs>
          <w:tab w:val="left" w:pos="993"/>
        </w:tabs>
        <w:spacing w:line="360" w:lineRule="auto"/>
        <w:ind w:firstLine="709"/>
        <w:jc w:val="both"/>
        <w:rPr>
          <w:szCs w:val="24"/>
          <w:lang w:eastAsia="lt-LT"/>
        </w:rPr>
      </w:pPr>
      <w:r w:rsidR="00164F07">
        <w:t>11</w:t>
      </w:r>
      <w:r w:rsidR="00164F07">
        <w:t xml:space="preserve">. </w:t>
      </w:r>
      <w:r w:rsidR="00164F07">
        <w:rPr>
          <w:rFonts w:eastAsia="Calibri"/>
          <w:color w:val="000000"/>
          <w:szCs w:val="24"/>
          <w:lang w:eastAsia="lt-LT"/>
        </w:rPr>
        <w:t xml:space="preserve">Darbuotojas, vadovaudamasis </w:t>
      </w:r>
      <w:r w:rsidR="00164F07">
        <w:rPr>
          <w:rFonts w:eastAsia="Calibri"/>
          <w:szCs w:val="24"/>
        </w:rPr>
        <w:t xml:space="preserve">nešališkumo ir teisingumo principais, </w:t>
      </w:r>
      <w:r w:rsidR="00164F07">
        <w:rPr>
          <w:rFonts w:eastAsia="Calibri"/>
          <w:color w:val="000000"/>
          <w:szCs w:val="24"/>
          <w:lang w:eastAsia="lt-LT"/>
        </w:rPr>
        <w:t>projekto administravimo arba priežiūros metu</w:t>
      </w:r>
      <w:r w:rsidR="00164F07">
        <w:rPr>
          <w:color w:val="000000"/>
          <w:szCs w:val="24"/>
          <w:lang w:eastAsia="lt-LT"/>
        </w:rPr>
        <w:t xml:space="preserve"> pagal duomenis, esančius Agentūros informacinėse sistemose ir (arba) dokumentuose nustatęs (pateiktuose su paraiška, gautuose projekto vertinimo ir (arba) administravimo metu) ir (arba) pastebėjęs (pvz., remiantis išorės registrais), kad projektas susijęs su kitais Agentūroje vertinamais, įvertintais arba administruojamais projektais, nustato, kad yra sukurtos dirbtinės sąlygos paramai gauti pagal tris ir daugiau rizikos kriterijus:</w:t>
      </w:r>
    </w:p>
    <w:p w14:paraId="70E1A63F" w14:textId="77777777" w:rsidR="00A8455F" w:rsidRDefault="00890CAB" w:rsidP="008B1E76">
      <w:pPr>
        <w:tabs>
          <w:tab w:val="left" w:pos="993"/>
        </w:tabs>
        <w:spacing w:line="360" w:lineRule="auto"/>
        <w:ind w:left="1418" w:hanging="709"/>
        <w:jc w:val="both"/>
        <w:rPr>
          <w:color w:val="000000"/>
          <w:szCs w:val="24"/>
          <w:lang w:eastAsia="lt-LT"/>
        </w:rPr>
      </w:pPr>
      <w:r w:rsidR="00164F07">
        <w:rPr>
          <w:szCs w:val="22"/>
        </w:rPr>
        <w:t>11.1</w:t>
      </w:r>
      <w:r w:rsidR="00164F07">
        <w:rPr>
          <w:szCs w:val="22"/>
        </w:rPr>
        <w:t xml:space="preserve"> dėl </w:t>
      </w:r>
      <w:r w:rsidR="00164F07">
        <w:rPr>
          <w:color w:val="000000"/>
          <w:szCs w:val="24"/>
          <w:lang w:eastAsia="lt-LT"/>
        </w:rPr>
        <w:t>projekto įgyvendinimo vietos;</w:t>
      </w:r>
    </w:p>
    <w:p w14:paraId="70E1A640" w14:textId="77777777" w:rsidR="00A8455F" w:rsidRDefault="00890CAB" w:rsidP="008B1E76">
      <w:pPr>
        <w:tabs>
          <w:tab w:val="left" w:pos="993"/>
        </w:tabs>
        <w:spacing w:line="360" w:lineRule="auto"/>
        <w:ind w:left="1418" w:hanging="709"/>
        <w:contextualSpacing/>
        <w:jc w:val="both"/>
        <w:rPr>
          <w:color w:val="000000"/>
          <w:szCs w:val="24"/>
          <w:lang w:eastAsia="lt-LT"/>
        </w:rPr>
      </w:pPr>
      <w:r w:rsidR="00164F07">
        <w:rPr>
          <w:color w:val="000000"/>
          <w:szCs w:val="24"/>
          <w:lang w:eastAsia="lt-LT"/>
        </w:rPr>
        <w:t>11.2</w:t>
      </w:r>
      <w:r w:rsidR="00164F07">
        <w:rPr>
          <w:color w:val="000000"/>
          <w:szCs w:val="24"/>
          <w:lang w:eastAsia="lt-LT"/>
        </w:rPr>
        <w:t>. dėl projekte numatytos vykdyti arba vykdomos veiklos;</w:t>
      </w:r>
    </w:p>
    <w:p w14:paraId="70E1A641" w14:textId="77777777" w:rsidR="00A8455F" w:rsidRDefault="00890CAB" w:rsidP="008B1E76">
      <w:pPr>
        <w:tabs>
          <w:tab w:val="left" w:pos="993"/>
        </w:tabs>
        <w:spacing w:line="360" w:lineRule="auto"/>
        <w:ind w:left="1418" w:hanging="709"/>
        <w:contextualSpacing/>
        <w:jc w:val="both"/>
        <w:rPr>
          <w:color w:val="000000"/>
          <w:szCs w:val="24"/>
          <w:lang w:eastAsia="lt-LT"/>
        </w:rPr>
      </w:pPr>
      <w:r w:rsidR="00164F07">
        <w:rPr>
          <w:color w:val="000000"/>
          <w:szCs w:val="24"/>
          <w:lang w:eastAsia="lt-LT"/>
        </w:rPr>
        <w:t>11.3</w:t>
      </w:r>
      <w:r w:rsidR="00164F07">
        <w:rPr>
          <w:color w:val="000000"/>
          <w:szCs w:val="24"/>
          <w:lang w:eastAsia="lt-LT"/>
        </w:rPr>
        <w:t>. dėl susijusių asmenų arba susijusių projektų arba partnerinių įmonių;</w:t>
      </w:r>
    </w:p>
    <w:p w14:paraId="70E1A642" w14:textId="77777777" w:rsidR="00A8455F" w:rsidRDefault="00890CAB" w:rsidP="008B1E76">
      <w:pPr>
        <w:tabs>
          <w:tab w:val="left" w:pos="993"/>
        </w:tabs>
        <w:spacing w:line="360" w:lineRule="auto"/>
        <w:ind w:left="1418" w:hanging="709"/>
        <w:contextualSpacing/>
        <w:jc w:val="both"/>
        <w:rPr>
          <w:color w:val="000000"/>
          <w:szCs w:val="24"/>
          <w:lang w:eastAsia="lt-LT"/>
        </w:rPr>
      </w:pPr>
      <w:r w:rsidR="00164F07">
        <w:rPr>
          <w:color w:val="000000"/>
          <w:szCs w:val="24"/>
          <w:lang w:eastAsia="lt-LT"/>
        </w:rPr>
        <w:t>11.4</w:t>
      </w:r>
      <w:r w:rsidR="00164F07">
        <w:rPr>
          <w:color w:val="000000"/>
          <w:szCs w:val="24"/>
          <w:lang w:eastAsia="lt-LT"/>
        </w:rPr>
        <w:t>. dėl pareiškėjo arba paramos gavėjo patirties įgyvendinant paramos projektą;</w:t>
      </w:r>
    </w:p>
    <w:p w14:paraId="70E1A643" w14:textId="77777777" w:rsidR="00A8455F" w:rsidRDefault="00890CAB" w:rsidP="008B1E76">
      <w:pPr>
        <w:tabs>
          <w:tab w:val="left" w:pos="993"/>
        </w:tabs>
        <w:spacing w:line="360" w:lineRule="auto"/>
        <w:ind w:left="1418" w:hanging="709"/>
        <w:contextualSpacing/>
        <w:jc w:val="both"/>
        <w:rPr>
          <w:color w:val="000000"/>
          <w:szCs w:val="24"/>
          <w:lang w:eastAsia="lt-LT"/>
        </w:rPr>
      </w:pPr>
      <w:r w:rsidR="00164F07">
        <w:rPr>
          <w:color w:val="000000"/>
          <w:szCs w:val="24"/>
          <w:lang w:eastAsia="lt-LT"/>
        </w:rPr>
        <w:t>11.5</w:t>
      </w:r>
      <w:r w:rsidR="00164F07">
        <w:rPr>
          <w:color w:val="000000"/>
          <w:szCs w:val="24"/>
          <w:lang w:eastAsia="lt-LT"/>
        </w:rPr>
        <w:t>. dėl p</w:t>
      </w:r>
      <w:r w:rsidR="00164F07">
        <w:rPr>
          <w:rFonts w:eastAsia="Calibri"/>
          <w:bCs/>
          <w:color w:val="000000"/>
          <w:szCs w:val="24"/>
          <w:lang w:eastAsia="lt-LT"/>
        </w:rPr>
        <w:t>aramos gavėjų projektuose dalyvaujančių tų pačių tiekėjų (rangovų),</w:t>
      </w:r>
    </w:p>
    <w:p w14:paraId="70E1A644" w14:textId="77777777" w:rsidR="00A8455F" w:rsidRDefault="00164F07">
      <w:pPr>
        <w:tabs>
          <w:tab w:val="left" w:pos="1134"/>
        </w:tabs>
        <w:spacing w:line="360" w:lineRule="auto"/>
        <w:jc w:val="both"/>
        <w:rPr>
          <w:rFonts w:eastAsia="Calibri"/>
          <w:szCs w:val="24"/>
        </w:rPr>
      </w:pPr>
      <w:r>
        <w:rPr>
          <w:color w:val="000000"/>
          <w:szCs w:val="24"/>
          <w:lang w:eastAsia="lt-LT"/>
        </w:rPr>
        <w:t>kurie detalizuoti Metodikos 2 priede.</w:t>
      </w:r>
    </w:p>
    <w:p w14:paraId="70E1A645" w14:textId="77777777" w:rsidR="00A8455F" w:rsidRDefault="00890CAB" w:rsidP="008B1E76">
      <w:pPr>
        <w:tabs>
          <w:tab w:val="left" w:pos="993"/>
        </w:tabs>
        <w:spacing w:line="360" w:lineRule="auto"/>
        <w:ind w:firstLine="709"/>
        <w:jc w:val="both"/>
        <w:rPr>
          <w:szCs w:val="24"/>
          <w:lang w:eastAsia="lt-LT"/>
        </w:rPr>
      </w:pPr>
      <w:r w:rsidR="00164F07">
        <w:rPr>
          <w:color w:val="000000"/>
          <w:szCs w:val="24"/>
          <w:lang w:eastAsia="lt-LT"/>
        </w:rPr>
        <w:t>12</w:t>
      </w:r>
      <w:r w:rsidR="00164F07">
        <w:rPr>
          <w:color w:val="000000"/>
          <w:szCs w:val="24"/>
          <w:lang w:eastAsia="lt-LT"/>
        </w:rPr>
        <w:t xml:space="preserve">. </w:t>
      </w:r>
      <w:r w:rsidR="00164F07">
        <w:rPr>
          <w:rFonts w:eastAsia="Calibri"/>
          <w:szCs w:val="24"/>
        </w:rPr>
        <w:t xml:space="preserve">Tuo atveju, jei projekto administravimo arba priežiūros metu nustatoma, kad paramos gavėjo projektas atitinka tris ir daugiau Metodikos 2 </w:t>
      </w:r>
      <w:r w:rsidR="00164F07">
        <w:rPr>
          <w:rFonts w:eastAsia="Calibri"/>
          <w:color w:val="000000"/>
          <w:szCs w:val="24"/>
        </w:rPr>
        <w:t>priede</w:t>
      </w:r>
      <w:r w:rsidR="00164F07">
        <w:rPr>
          <w:rFonts w:eastAsia="Calibri"/>
          <w:szCs w:val="24"/>
        </w:rPr>
        <w:t xml:space="preserve"> pateiktus rizikos kriterijus, laikoma, kad paramos gavėjas dirbtinai sukūrė paramai gauti reikalingas sąlygas ir turi būti vykdomas pažeidimo tyrimas kaip numatyta Agentūros vidiniuose darbo dokumentuose. </w:t>
      </w:r>
    </w:p>
    <w:p w14:paraId="70E1A646" w14:textId="77777777" w:rsidR="00A8455F" w:rsidRDefault="00890CAB" w:rsidP="008B1E76">
      <w:pPr>
        <w:tabs>
          <w:tab w:val="left" w:pos="993"/>
        </w:tabs>
        <w:spacing w:line="360" w:lineRule="auto"/>
        <w:ind w:firstLine="709"/>
        <w:jc w:val="both"/>
        <w:rPr>
          <w:szCs w:val="24"/>
          <w:lang w:eastAsia="lt-LT"/>
        </w:rPr>
      </w:pPr>
      <w:r w:rsidR="00164F07">
        <w:rPr>
          <w:color w:val="000000"/>
          <w:szCs w:val="24"/>
          <w:lang w:eastAsia="lt-LT"/>
        </w:rPr>
        <w:t>13</w:t>
      </w:r>
      <w:r w:rsidR="00164F07">
        <w:rPr>
          <w:color w:val="000000"/>
          <w:szCs w:val="24"/>
          <w:lang w:eastAsia="lt-LT"/>
        </w:rPr>
        <w:t>. Paramos gavėjams, p</w:t>
      </w:r>
      <w:r w:rsidR="00164F07">
        <w:rPr>
          <w:rFonts w:eastAsia="Calibri"/>
          <w:szCs w:val="24"/>
        </w:rPr>
        <w:t>rojekto įgyvendinimo metu dirbtinai sukūrus paramai gauti reikalingas sąlygas, taikomos atitinkamos sankcijos, kaip numatyta Lietuvos Respublikos žemės ūkio ministro įsakymu patvirtintoje Sankcijų taikymo metodikoje.</w:t>
      </w:r>
    </w:p>
    <w:p w14:paraId="70E1A647" w14:textId="77777777" w:rsidR="00A8455F" w:rsidRDefault="00890CAB" w:rsidP="008B1E76">
      <w:pPr>
        <w:tabs>
          <w:tab w:val="left" w:pos="1134"/>
        </w:tabs>
        <w:spacing w:line="360" w:lineRule="auto"/>
        <w:ind w:firstLine="709"/>
        <w:jc w:val="both"/>
        <w:rPr>
          <w:szCs w:val="24"/>
          <w:lang w:eastAsia="lt-LT"/>
        </w:rPr>
      </w:pPr>
      <w:r w:rsidR="00164F07">
        <w:rPr>
          <w:color w:val="000000"/>
          <w:szCs w:val="24"/>
          <w:lang w:eastAsia="lt-LT"/>
        </w:rPr>
        <w:t>14</w:t>
      </w:r>
      <w:r w:rsidR="00164F07">
        <w:rPr>
          <w:color w:val="000000"/>
          <w:szCs w:val="24"/>
          <w:lang w:eastAsia="lt-LT"/>
        </w:rPr>
        <w:t xml:space="preserve">. </w:t>
      </w:r>
      <w:r w:rsidR="00164F07">
        <w:rPr>
          <w:rFonts w:eastAsia="Calibri"/>
          <w:szCs w:val="24"/>
        </w:rPr>
        <w:t>Nagrinėjant gautus paramos gavėjo prašymus dėl investicijų ar kitų esminių projekto įgyvendinimo sąlygų keitimo, būtina įvertinti, ar pakeitus prašomas sąlygas, paramos gavėjas nebus pripažintas dirbtinai sukūręs sąlygas paramai gauti.</w:t>
      </w:r>
    </w:p>
    <w:p w14:paraId="70E1A648" w14:textId="77777777" w:rsidR="00A8455F" w:rsidRDefault="00890CAB">
      <w:pPr>
        <w:tabs>
          <w:tab w:val="left" w:pos="993"/>
        </w:tabs>
        <w:spacing w:line="360" w:lineRule="auto"/>
        <w:contextualSpacing/>
        <w:jc w:val="both"/>
        <w:rPr>
          <w:color w:val="000000"/>
          <w:szCs w:val="24"/>
          <w:lang w:eastAsia="lt-LT"/>
        </w:rPr>
      </w:pPr>
    </w:p>
    <w:p w14:paraId="70E1A649" w14:textId="3F045DD1" w:rsidR="00A8455F" w:rsidRDefault="00890CAB">
      <w:pPr>
        <w:tabs>
          <w:tab w:val="left" w:pos="993"/>
        </w:tabs>
        <w:spacing w:line="360" w:lineRule="auto"/>
        <w:ind w:left="1418"/>
        <w:jc w:val="center"/>
        <w:rPr>
          <w:b/>
          <w:color w:val="000000"/>
          <w:szCs w:val="24"/>
          <w:lang w:eastAsia="lt-LT"/>
        </w:rPr>
      </w:pPr>
      <w:r w:rsidR="00164F07">
        <w:rPr>
          <w:b/>
          <w:color w:val="000000"/>
          <w:szCs w:val="24"/>
          <w:lang w:eastAsia="lt-LT"/>
        </w:rPr>
        <w:t>IV</w:t>
      </w:r>
      <w:r w:rsidR="00164F07">
        <w:rPr>
          <w:b/>
          <w:color w:val="000000"/>
          <w:szCs w:val="24"/>
          <w:lang w:eastAsia="lt-LT"/>
        </w:rPr>
        <w:t xml:space="preserve">. </w:t>
      </w:r>
      <w:r w:rsidR="00164F07">
        <w:rPr>
          <w:b/>
          <w:color w:val="000000"/>
          <w:szCs w:val="24"/>
          <w:lang w:eastAsia="lt-LT"/>
        </w:rPr>
        <w:t>BAIGIAMOSIOS NUOSTATOS</w:t>
      </w:r>
    </w:p>
    <w:p w14:paraId="70E1A64A" w14:textId="77777777" w:rsidR="00A8455F" w:rsidRDefault="00A8455F">
      <w:pPr>
        <w:spacing w:line="360" w:lineRule="auto"/>
        <w:rPr>
          <w:szCs w:val="22"/>
        </w:rPr>
      </w:pPr>
    </w:p>
    <w:p w14:paraId="70E1A64B" w14:textId="77777777" w:rsidR="00A8455F" w:rsidRDefault="00890CAB" w:rsidP="008B1E76">
      <w:pPr>
        <w:tabs>
          <w:tab w:val="left" w:pos="1134"/>
          <w:tab w:val="left" w:pos="1560"/>
        </w:tabs>
        <w:spacing w:line="360" w:lineRule="auto"/>
        <w:ind w:firstLine="709"/>
        <w:jc w:val="both"/>
        <w:rPr>
          <w:rFonts w:eastAsia="Calibri"/>
          <w:szCs w:val="24"/>
        </w:rPr>
      </w:pPr>
      <w:r w:rsidR="00164F07">
        <w:t>15</w:t>
      </w:r>
      <w:r w:rsidR="00164F07">
        <w:t xml:space="preserve">. </w:t>
      </w:r>
      <w:r w:rsidR="00164F07">
        <w:rPr>
          <w:rFonts w:eastAsia="Calibri"/>
          <w:szCs w:val="24"/>
        </w:rPr>
        <w:t>Metodika gali būti keičiama, tikslinama arba atnaujinama, pasikeitus teisės aktams, galintiems turėti įtakos sprendimams dėl paramos suteikimo arba tinkamo KPP administravimo.</w:t>
      </w:r>
    </w:p>
    <w:p w14:paraId="70E1A64C" w14:textId="77777777" w:rsidR="00A8455F" w:rsidRDefault="00890CAB" w:rsidP="008B1E76">
      <w:pPr>
        <w:spacing w:line="360" w:lineRule="auto"/>
        <w:ind w:firstLine="709"/>
        <w:rPr>
          <w:szCs w:val="24"/>
          <w:lang w:eastAsia="lt-LT"/>
        </w:rPr>
      </w:pPr>
      <w:r w:rsidR="00164F07">
        <w:t>16</w:t>
      </w:r>
      <w:r w:rsidR="00164F07">
        <w:t xml:space="preserve">. </w:t>
      </w:r>
      <w:r w:rsidR="00164F07">
        <w:rPr>
          <w:szCs w:val="24"/>
          <w:lang w:eastAsia="lt-LT"/>
        </w:rPr>
        <w:t>Šios Metodikos nuostatos taikomos tiek, kiek jos neprieštarauja ES reglamentams ir kitiems Lietuvos Respublikos teisės aktams.</w:t>
      </w:r>
    </w:p>
    <w:p w14:paraId="70E1A64D" w14:textId="502A6FC6" w:rsidR="00A8455F" w:rsidRDefault="00890CAB" w:rsidP="008B1E76">
      <w:pPr>
        <w:tabs>
          <w:tab w:val="left" w:pos="1134"/>
          <w:tab w:val="left" w:pos="1418"/>
        </w:tabs>
        <w:spacing w:line="360" w:lineRule="auto"/>
        <w:ind w:firstLine="709"/>
        <w:jc w:val="both"/>
        <w:rPr>
          <w:rFonts w:eastAsia="Calibri"/>
          <w:szCs w:val="24"/>
        </w:rPr>
      </w:pPr>
      <w:r w:rsidR="00164F07">
        <w:rPr>
          <w:szCs w:val="24"/>
          <w:lang w:eastAsia="lt-LT"/>
        </w:rPr>
        <w:t>17</w:t>
      </w:r>
      <w:r w:rsidR="00164F07">
        <w:rPr>
          <w:szCs w:val="24"/>
          <w:lang w:eastAsia="lt-LT"/>
        </w:rPr>
        <w:t>. Jei KPP priemonių įgyvendinimo taisyklėse nustatomas kitoks teisinis reguliavimas, nei šioje Metodikoje, vadovaujamasi KPP priemonių įgyvendinimo taisyklėmis.</w:t>
      </w:r>
    </w:p>
    <w:p w14:paraId="70E1A650" w14:textId="09946069" w:rsidR="00A8455F" w:rsidRDefault="00164F07" w:rsidP="00164F07">
      <w:pPr>
        <w:spacing w:line="360" w:lineRule="auto"/>
        <w:jc w:val="center"/>
      </w:pPr>
      <w:r>
        <w:t>________________</w:t>
      </w:r>
    </w:p>
    <w:p w14:paraId="65BD6ED9" w14:textId="4F565AE6" w:rsidR="00164F07" w:rsidRDefault="00164F07" w:rsidP="00164F07">
      <w:pPr>
        <w:sectPr w:rsidR="00164F07" w:rsidSect="00164F07">
          <w:headerReference w:type="even" r:id="rId9"/>
          <w:headerReference w:type="default" r:id="rId10"/>
          <w:footerReference w:type="even" r:id="rId11"/>
          <w:footerReference w:type="default" r:id="rId12"/>
          <w:headerReference w:type="first" r:id="rId13"/>
          <w:footerReference w:type="first" r:id="rId14"/>
          <w:pgSz w:w="11907" w:h="16840"/>
          <w:pgMar w:top="1247" w:right="850" w:bottom="709" w:left="1701" w:header="567" w:footer="567" w:gutter="0"/>
          <w:cols w:space="1296"/>
          <w:titlePg/>
          <w:docGrid w:linePitch="326"/>
        </w:sectPr>
      </w:pPr>
    </w:p>
    <w:p w14:paraId="70E1A651" w14:textId="7324CC45" w:rsidR="00A8455F" w:rsidRDefault="00164F07" w:rsidP="00164F07">
      <w:pPr>
        <w:ind w:left="10348"/>
      </w:pPr>
      <w:r>
        <w:lastRenderedPageBreak/>
        <w:t xml:space="preserve">Dirbtinai sukurtų sąlygų paramai gauti nustatymo metodikos </w:t>
      </w:r>
    </w:p>
    <w:p w14:paraId="70E1A652" w14:textId="77777777" w:rsidR="00A8455F" w:rsidRDefault="00890CAB">
      <w:pPr>
        <w:ind w:left="10370"/>
      </w:pPr>
      <w:r w:rsidR="00164F07">
        <w:t>1</w:t>
      </w:r>
      <w:r w:rsidR="00164F07">
        <w:t xml:space="preserve"> priedas</w:t>
      </w:r>
    </w:p>
    <w:p w14:paraId="70E1A653" w14:textId="77777777" w:rsidR="00A8455F" w:rsidRDefault="00A8455F">
      <w:pPr>
        <w:ind w:left="10370"/>
      </w:pPr>
    </w:p>
    <w:p w14:paraId="70E1A654" w14:textId="77777777" w:rsidR="00A8455F" w:rsidRDefault="00890CAB">
      <w:pPr>
        <w:keepNext/>
        <w:suppressAutoHyphens/>
        <w:jc w:val="center"/>
        <w:rPr>
          <w:b/>
          <w:bCs/>
          <w:szCs w:val="24"/>
        </w:rPr>
      </w:pPr>
      <w:r w:rsidR="00164F07">
        <w:rPr>
          <w:b/>
          <w:bCs/>
          <w:szCs w:val="24"/>
        </w:rPr>
        <w:t>RIZIKOS KRITERIJAI DIRBTINAI SUKURTŲ SĄLYGŲ PARAMAI GAUTI NUSTATYMUI PARAIŠKOS VERTINIMO METU</w:t>
      </w:r>
    </w:p>
    <w:tbl>
      <w:tblPr>
        <w:tblW w:w="0" w:type="auto"/>
        <w:tblInd w:w="-5" w:type="dxa"/>
        <w:tblLayout w:type="fixed"/>
        <w:tblLook w:val="0000" w:firstRow="0" w:lastRow="0" w:firstColumn="0" w:lastColumn="0" w:noHBand="0" w:noVBand="0"/>
      </w:tblPr>
      <w:tblGrid>
        <w:gridCol w:w="675"/>
        <w:gridCol w:w="2727"/>
        <w:gridCol w:w="10745"/>
      </w:tblGrid>
      <w:tr w:rsidR="00A8455F" w14:paraId="70E1A658" w14:textId="77777777">
        <w:trPr>
          <w:trHeight w:val="362"/>
        </w:trPr>
        <w:tc>
          <w:tcPr>
            <w:tcW w:w="675" w:type="dxa"/>
            <w:tcBorders>
              <w:top w:val="single" w:sz="4" w:space="0" w:color="000000"/>
              <w:left w:val="single" w:sz="4" w:space="0" w:color="000000"/>
              <w:bottom w:val="single" w:sz="4" w:space="0" w:color="000000"/>
            </w:tcBorders>
            <w:shd w:val="clear" w:color="auto" w:fill="FFFFFF" w:themeFill="background1"/>
          </w:tcPr>
          <w:p w14:paraId="70E1A655" w14:textId="77777777" w:rsidR="00A8455F" w:rsidRDefault="00164F07">
            <w:pPr>
              <w:tabs>
                <w:tab w:val="left" w:pos="2302"/>
              </w:tabs>
              <w:suppressAutoHyphens/>
              <w:snapToGrid w:val="0"/>
              <w:jc w:val="both"/>
              <w:rPr>
                <w:b/>
                <w:szCs w:val="24"/>
                <w:lang w:eastAsia="ar-SA"/>
              </w:rPr>
            </w:pPr>
            <w:r>
              <w:rPr>
                <w:b/>
                <w:szCs w:val="24"/>
                <w:lang w:eastAsia="ar-SA"/>
              </w:rPr>
              <w:t>Eil. Nr.</w:t>
            </w:r>
          </w:p>
        </w:tc>
        <w:tc>
          <w:tcPr>
            <w:tcW w:w="2727" w:type="dxa"/>
            <w:tcBorders>
              <w:top w:val="single" w:sz="4" w:space="0" w:color="000000"/>
              <w:left w:val="single" w:sz="4" w:space="0" w:color="000000"/>
              <w:bottom w:val="single" w:sz="4" w:space="0" w:color="000000"/>
            </w:tcBorders>
            <w:shd w:val="clear" w:color="auto" w:fill="FFFFFF" w:themeFill="background1"/>
          </w:tcPr>
          <w:p w14:paraId="70E1A656" w14:textId="77777777" w:rsidR="00A8455F" w:rsidRDefault="00164F07">
            <w:pPr>
              <w:snapToGrid w:val="0"/>
              <w:ind w:left="72" w:hanging="72"/>
              <w:jc w:val="both"/>
              <w:outlineLvl w:val="2"/>
              <w:rPr>
                <w:b/>
                <w:szCs w:val="24"/>
              </w:rPr>
            </w:pPr>
            <w:r>
              <w:rPr>
                <w:b/>
                <w:szCs w:val="24"/>
              </w:rPr>
              <w:t>Rizikos kriterijus</w:t>
            </w:r>
          </w:p>
        </w:tc>
        <w:tc>
          <w:tcPr>
            <w:tcW w:w="107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E1A657" w14:textId="77777777" w:rsidR="00A8455F" w:rsidRDefault="00164F07">
            <w:pPr>
              <w:tabs>
                <w:tab w:val="left" w:pos="2302"/>
              </w:tabs>
              <w:suppressAutoHyphens/>
              <w:ind w:left="38"/>
              <w:jc w:val="both"/>
              <w:rPr>
                <w:b/>
                <w:szCs w:val="24"/>
                <w:lang w:eastAsia="ar-SA"/>
              </w:rPr>
            </w:pPr>
            <w:r>
              <w:rPr>
                <w:b/>
                <w:szCs w:val="24"/>
                <w:lang w:eastAsia="ar-SA"/>
              </w:rPr>
              <w:t>Rizikos kriterijų detalizuojantys požymiai</w:t>
            </w:r>
          </w:p>
        </w:tc>
      </w:tr>
      <w:tr w:rsidR="00A8455F" w14:paraId="70E1A65E" w14:textId="77777777">
        <w:tc>
          <w:tcPr>
            <w:tcW w:w="675" w:type="dxa"/>
            <w:tcBorders>
              <w:top w:val="single" w:sz="4" w:space="0" w:color="000000"/>
              <w:left w:val="single" w:sz="4" w:space="0" w:color="000000"/>
              <w:bottom w:val="single" w:sz="4" w:space="0" w:color="000000"/>
            </w:tcBorders>
          </w:tcPr>
          <w:p w14:paraId="70E1A659" w14:textId="77777777" w:rsidR="00A8455F" w:rsidRDefault="00164F07">
            <w:pPr>
              <w:jc w:val="both"/>
              <w:rPr>
                <w:rFonts w:eastAsia="Calibri"/>
                <w:szCs w:val="24"/>
                <w:lang w:eastAsia="ar-SA"/>
              </w:rPr>
            </w:pPr>
            <w:r>
              <w:rPr>
                <w:rFonts w:eastAsia="Calibri"/>
                <w:szCs w:val="24"/>
                <w:lang w:eastAsia="ar-SA"/>
              </w:rPr>
              <w:t>1.</w:t>
            </w:r>
          </w:p>
        </w:tc>
        <w:tc>
          <w:tcPr>
            <w:tcW w:w="2727" w:type="dxa"/>
            <w:tcBorders>
              <w:top w:val="single" w:sz="4" w:space="0" w:color="000000"/>
              <w:left w:val="single" w:sz="4" w:space="0" w:color="000000"/>
              <w:bottom w:val="single" w:sz="4" w:space="0" w:color="000000"/>
            </w:tcBorders>
          </w:tcPr>
          <w:p w14:paraId="70E1A65A" w14:textId="77777777" w:rsidR="00A8455F" w:rsidRDefault="00164F07">
            <w:pPr>
              <w:snapToGrid w:val="0"/>
              <w:ind w:left="39"/>
              <w:jc w:val="both"/>
              <w:outlineLvl w:val="2"/>
              <w:rPr>
                <w:szCs w:val="24"/>
              </w:rPr>
            </w:pPr>
            <w:r>
              <w:rPr>
                <w:b/>
                <w:color w:val="000000"/>
                <w:szCs w:val="24"/>
                <w:lang w:eastAsia="lt-LT"/>
              </w:rPr>
              <w:t>Projekto (projektų)</w:t>
            </w:r>
            <w:r>
              <w:rPr>
                <w:b/>
                <w:bCs/>
                <w:color w:val="000000"/>
                <w:szCs w:val="24"/>
                <w:lang w:eastAsia="lt-LT"/>
              </w:rPr>
              <w:t xml:space="preserve"> įgyvendinimo vieta</w:t>
            </w:r>
          </w:p>
        </w:tc>
        <w:tc>
          <w:tcPr>
            <w:tcW w:w="10745" w:type="dxa"/>
            <w:tcBorders>
              <w:top w:val="single" w:sz="4" w:space="0" w:color="000000"/>
              <w:left w:val="single" w:sz="4" w:space="0" w:color="000000"/>
              <w:bottom w:val="single" w:sz="4" w:space="0" w:color="000000"/>
              <w:right w:val="single" w:sz="4" w:space="0" w:color="000000"/>
            </w:tcBorders>
          </w:tcPr>
          <w:p w14:paraId="70E1A65B" w14:textId="77777777" w:rsidR="00A8455F" w:rsidRDefault="00164F07">
            <w:pPr>
              <w:tabs>
                <w:tab w:val="left" w:pos="34"/>
                <w:tab w:val="left" w:pos="2302"/>
              </w:tabs>
              <w:suppressAutoHyphens/>
              <w:ind w:left="38"/>
              <w:jc w:val="both"/>
              <w:rPr>
                <w:color w:val="000000"/>
                <w:szCs w:val="24"/>
                <w:lang w:eastAsia="lt-LT"/>
              </w:rPr>
            </w:pPr>
            <w:r>
              <w:rPr>
                <w:color w:val="000000"/>
                <w:szCs w:val="24"/>
                <w:lang w:eastAsia="lt-LT"/>
              </w:rPr>
              <w:t>1. Kelios (2 ir daugiau) įmonės ir (arba) fiziniai asmenys planuoja įgyvendinti ir (arba) įgyvendina projektus tuose pačiuose pastatuose ir (arba) tuose pačiuose žemės sklypuose (pvz., pagal kadastro unikalius numerius).</w:t>
            </w:r>
          </w:p>
          <w:p w14:paraId="70E1A65C" w14:textId="77777777" w:rsidR="00A8455F" w:rsidRDefault="00164F07">
            <w:pPr>
              <w:tabs>
                <w:tab w:val="left" w:pos="2302"/>
              </w:tabs>
              <w:suppressAutoHyphens/>
              <w:ind w:left="38"/>
              <w:jc w:val="both"/>
              <w:rPr>
                <w:color w:val="000000"/>
                <w:szCs w:val="24"/>
                <w:lang w:eastAsia="lt-LT"/>
              </w:rPr>
            </w:pPr>
            <w:r>
              <w:rPr>
                <w:color w:val="000000"/>
                <w:szCs w:val="24"/>
                <w:lang w:eastAsia="lt-LT"/>
              </w:rPr>
              <w:t>2. Keli projektai įgyvendinami gretimuose (t. y. šalia esančiuose, kaimyniniuose) žemės sklypuose arba žemės sklypai ribojasi vienas su kitu, arba žemės sklypai priklauso tiems patiems subjektams (nuosavybės, nuomos arba kitais teisėtais valdymo pagrindais) (pvz., pagal VĮ Registrų centro duomenis).</w:t>
            </w:r>
          </w:p>
          <w:p w14:paraId="70E1A65D" w14:textId="77777777" w:rsidR="00A8455F" w:rsidRDefault="00164F07">
            <w:pPr>
              <w:tabs>
                <w:tab w:val="left" w:pos="2302"/>
              </w:tabs>
              <w:suppressAutoHyphens/>
              <w:ind w:left="38"/>
              <w:jc w:val="both"/>
              <w:rPr>
                <w:szCs w:val="24"/>
                <w:lang w:eastAsia="ar-SA"/>
              </w:rPr>
            </w:pPr>
            <w:r>
              <w:rPr>
                <w:color w:val="000000"/>
                <w:szCs w:val="24"/>
                <w:lang w:eastAsia="lt-LT"/>
              </w:rPr>
              <w:t xml:space="preserve">3. Kelių pareiškėjų ir (arba) paramos gavėjų kontaktiniai duomenys (pvz., įmonės registracijos vieta, elektroninio pašto adresai, kontaktinių telefonų numeriai) yra tie patys. </w:t>
            </w:r>
          </w:p>
        </w:tc>
      </w:tr>
      <w:tr w:rsidR="00A8455F" w14:paraId="70E1A664" w14:textId="77777777">
        <w:trPr>
          <w:trHeight w:val="1920"/>
        </w:trPr>
        <w:tc>
          <w:tcPr>
            <w:tcW w:w="675" w:type="dxa"/>
            <w:tcBorders>
              <w:top w:val="single" w:sz="4" w:space="0" w:color="000000"/>
              <w:left w:val="single" w:sz="4" w:space="0" w:color="000000"/>
              <w:bottom w:val="single" w:sz="4" w:space="0" w:color="000000"/>
            </w:tcBorders>
          </w:tcPr>
          <w:p w14:paraId="70E1A65F" w14:textId="77777777" w:rsidR="00A8455F" w:rsidRDefault="00164F07">
            <w:pPr>
              <w:ind w:left="142"/>
              <w:jc w:val="both"/>
              <w:rPr>
                <w:rFonts w:eastAsia="Calibri"/>
                <w:szCs w:val="24"/>
                <w:lang w:eastAsia="ar-SA"/>
              </w:rPr>
            </w:pPr>
            <w:r>
              <w:rPr>
                <w:rFonts w:eastAsia="Calibri"/>
                <w:szCs w:val="24"/>
                <w:lang w:eastAsia="ar-SA"/>
              </w:rPr>
              <w:t>2.</w:t>
            </w:r>
          </w:p>
        </w:tc>
        <w:tc>
          <w:tcPr>
            <w:tcW w:w="2727" w:type="dxa"/>
            <w:tcBorders>
              <w:top w:val="single" w:sz="4" w:space="0" w:color="000000"/>
              <w:left w:val="single" w:sz="4" w:space="0" w:color="000000"/>
              <w:bottom w:val="single" w:sz="4" w:space="0" w:color="000000"/>
            </w:tcBorders>
          </w:tcPr>
          <w:p w14:paraId="70E1A660" w14:textId="77777777" w:rsidR="00A8455F" w:rsidRDefault="00164F07">
            <w:pPr>
              <w:snapToGrid w:val="0"/>
              <w:ind w:left="39"/>
              <w:jc w:val="both"/>
              <w:outlineLvl w:val="2"/>
              <w:rPr>
                <w:b/>
                <w:bCs/>
                <w:color w:val="000000"/>
                <w:szCs w:val="24"/>
                <w:lang w:eastAsia="lt-LT"/>
              </w:rPr>
            </w:pPr>
            <w:r>
              <w:rPr>
                <w:b/>
                <w:bCs/>
                <w:color w:val="000000"/>
                <w:szCs w:val="24"/>
                <w:lang w:eastAsia="lt-LT"/>
              </w:rPr>
              <w:t>Projekte (projektuose) numatyta vykdyti arba vykdoma veikla</w:t>
            </w:r>
          </w:p>
        </w:tc>
        <w:tc>
          <w:tcPr>
            <w:tcW w:w="10745" w:type="dxa"/>
            <w:tcBorders>
              <w:top w:val="single" w:sz="4" w:space="0" w:color="000000"/>
              <w:left w:val="single" w:sz="4" w:space="0" w:color="000000"/>
              <w:bottom w:val="single" w:sz="4" w:space="0" w:color="000000"/>
              <w:right w:val="single" w:sz="4" w:space="0" w:color="000000"/>
            </w:tcBorders>
          </w:tcPr>
          <w:p w14:paraId="70E1A661" w14:textId="77777777" w:rsidR="00A8455F" w:rsidRDefault="00164F07">
            <w:pPr>
              <w:tabs>
                <w:tab w:val="left" w:pos="0"/>
                <w:tab w:val="left" w:pos="63"/>
                <w:tab w:val="left" w:pos="2302"/>
              </w:tabs>
              <w:suppressAutoHyphens/>
              <w:ind w:left="5"/>
              <w:jc w:val="both"/>
              <w:rPr>
                <w:color w:val="000000"/>
                <w:szCs w:val="24"/>
                <w:lang w:eastAsia="lt-LT"/>
              </w:rPr>
            </w:pPr>
            <w:r>
              <w:rPr>
                <w:color w:val="000000"/>
                <w:szCs w:val="24"/>
                <w:lang w:eastAsia="lt-LT"/>
              </w:rPr>
              <w:t>1.Skirtingų pareiškėjų ir (arba) paramos gavėjų projektuose numatyta vykdyti ir (arba) vykdoma tokia pati veikla (pvz., pagal E</w:t>
            </w:r>
            <w:r>
              <w:rPr>
                <w:color w:val="222222"/>
                <w:lang w:eastAsia="ar-SA"/>
              </w:rPr>
              <w:t>konominės veiklos rūšių klasifikatorių</w:t>
            </w:r>
            <w:r>
              <w:rPr>
                <w:rFonts w:ascii="Arial" w:hAnsi="Arial" w:cs="Arial"/>
                <w:color w:val="222222"/>
                <w:lang w:eastAsia="ar-SA"/>
              </w:rPr>
              <w:t xml:space="preserve"> (</w:t>
            </w:r>
            <w:r>
              <w:rPr>
                <w:color w:val="000000"/>
                <w:szCs w:val="24"/>
                <w:lang w:eastAsia="lt-LT"/>
              </w:rPr>
              <w:t>EVRK), išskyrus atvejus, kai projektus vykdo tas pats pareiškėjas arba paramos gavėjas.</w:t>
            </w:r>
          </w:p>
          <w:p w14:paraId="70E1A662" w14:textId="77777777" w:rsidR="00A8455F" w:rsidRDefault="00164F07">
            <w:pPr>
              <w:tabs>
                <w:tab w:val="left" w:pos="5"/>
                <w:tab w:val="left" w:pos="63"/>
                <w:tab w:val="left" w:pos="346"/>
              </w:tabs>
              <w:suppressAutoHyphens/>
              <w:ind w:left="5"/>
              <w:jc w:val="both"/>
              <w:rPr>
                <w:color w:val="000000"/>
                <w:szCs w:val="24"/>
                <w:lang w:eastAsia="lt-LT"/>
              </w:rPr>
            </w:pPr>
            <w:r>
              <w:rPr>
                <w:color w:val="000000"/>
                <w:szCs w:val="24"/>
                <w:lang w:eastAsia="lt-LT"/>
              </w:rPr>
              <w:t>2.</w:t>
            </w:r>
            <w:r>
              <w:rPr>
                <w:color w:val="000000"/>
                <w:szCs w:val="24"/>
                <w:lang w:eastAsia="lt-LT"/>
              </w:rPr>
              <w:tab/>
              <w:t>Skirtingų pareiškėjų ir (arba) paramos gavėjų planuojama arba vykdoma veikla viena kitą įtakoja, t. y. galutiniam rezultatui gauti reikalinga dviejų ar daugiau įmonių veikla ir (arba) investicijos (pvz., pagal vidinių ir išorės registrų duomenis).</w:t>
            </w:r>
          </w:p>
          <w:p w14:paraId="70E1A663" w14:textId="77777777" w:rsidR="00A8455F" w:rsidRDefault="00164F07">
            <w:pPr>
              <w:tabs>
                <w:tab w:val="left" w:pos="0"/>
                <w:tab w:val="left" w:pos="63"/>
                <w:tab w:val="left" w:pos="346"/>
              </w:tabs>
              <w:suppressAutoHyphens/>
              <w:ind w:left="5" w:hanging="5"/>
              <w:jc w:val="both"/>
              <w:rPr>
                <w:color w:val="000000"/>
                <w:szCs w:val="24"/>
                <w:lang w:eastAsia="lt-LT"/>
              </w:rPr>
            </w:pPr>
            <w:r>
              <w:rPr>
                <w:color w:val="000000"/>
                <w:szCs w:val="24"/>
                <w:lang w:eastAsia="lt-LT"/>
              </w:rPr>
              <w:t>3.</w:t>
            </w:r>
            <w:r>
              <w:rPr>
                <w:color w:val="000000"/>
                <w:szCs w:val="24"/>
                <w:lang w:eastAsia="lt-LT"/>
              </w:rPr>
              <w:tab/>
            </w:r>
            <w:r>
              <w:rPr>
                <w:szCs w:val="24"/>
                <w:lang w:eastAsia="ar-SA"/>
              </w:rPr>
              <w:t>Nustatomas funkcinis nesavarankiškumas.</w:t>
            </w:r>
          </w:p>
        </w:tc>
      </w:tr>
      <w:tr w:rsidR="00A8455F" w14:paraId="70E1A66B" w14:textId="77777777">
        <w:trPr>
          <w:trHeight w:val="990"/>
        </w:trPr>
        <w:tc>
          <w:tcPr>
            <w:tcW w:w="675" w:type="dxa"/>
            <w:tcBorders>
              <w:top w:val="single" w:sz="4" w:space="0" w:color="000000"/>
              <w:left w:val="single" w:sz="4" w:space="0" w:color="000000"/>
              <w:bottom w:val="single" w:sz="4" w:space="0" w:color="000000"/>
            </w:tcBorders>
          </w:tcPr>
          <w:p w14:paraId="70E1A665" w14:textId="77777777" w:rsidR="00A8455F" w:rsidRDefault="00164F07">
            <w:pPr>
              <w:ind w:left="142"/>
              <w:jc w:val="both"/>
              <w:rPr>
                <w:rFonts w:eastAsia="Calibri"/>
                <w:szCs w:val="24"/>
                <w:lang w:eastAsia="ar-SA"/>
              </w:rPr>
            </w:pPr>
            <w:r>
              <w:rPr>
                <w:rFonts w:eastAsia="Calibri"/>
                <w:szCs w:val="24"/>
                <w:lang w:eastAsia="ar-SA"/>
              </w:rPr>
              <w:t>3.</w:t>
            </w:r>
          </w:p>
        </w:tc>
        <w:tc>
          <w:tcPr>
            <w:tcW w:w="2727" w:type="dxa"/>
            <w:tcBorders>
              <w:top w:val="single" w:sz="4" w:space="0" w:color="000000"/>
              <w:left w:val="single" w:sz="4" w:space="0" w:color="000000"/>
              <w:bottom w:val="single" w:sz="4" w:space="0" w:color="000000"/>
            </w:tcBorders>
          </w:tcPr>
          <w:p w14:paraId="70E1A666" w14:textId="77777777" w:rsidR="00A8455F" w:rsidRDefault="00164F07">
            <w:pPr>
              <w:snapToGrid w:val="0"/>
              <w:ind w:left="39"/>
              <w:jc w:val="both"/>
              <w:outlineLvl w:val="2"/>
              <w:rPr>
                <w:b/>
                <w:bCs/>
                <w:color w:val="000000"/>
                <w:szCs w:val="24"/>
                <w:lang w:eastAsia="lt-LT"/>
              </w:rPr>
            </w:pPr>
            <w:r>
              <w:rPr>
                <w:b/>
                <w:bCs/>
                <w:color w:val="000000"/>
                <w:szCs w:val="24"/>
                <w:lang w:eastAsia="lt-LT"/>
              </w:rPr>
              <w:t>Susiję asmenys, susiję projektai, partnerinės įmonės</w:t>
            </w:r>
          </w:p>
          <w:p w14:paraId="70E1A667" w14:textId="77777777" w:rsidR="00A8455F" w:rsidRDefault="00A8455F">
            <w:pPr>
              <w:rPr>
                <w:rFonts w:ascii="Calibri" w:eastAsia="Calibri" w:hAnsi="Calibri"/>
                <w:sz w:val="22"/>
                <w:lang w:eastAsia="lt-LT"/>
              </w:rPr>
            </w:pPr>
          </w:p>
        </w:tc>
        <w:tc>
          <w:tcPr>
            <w:tcW w:w="10745" w:type="dxa"/>
            <w:tcBorders>
              <w:top w:val="single" w:sz="4" w:space="0" w:color="000000"/>
              <w:left w:val="single" w:sz="4" w:space="0" w:color="000000"/>
              <w:bottom w:val="single" w:sz="4" w:space="0" w:color="000000"/>
              <w:right w:val="single" w:sz="4" w:space="0" w:color="000000"/>
            </w:tcBorders>
          </w:tcPr>
          <w:p w14:paraId="70E1A668" w14:textId="77777777" w:rsidR="00A8455F" w:rsidRDefault="00164F07">
            <w:pPr>
              <w:tabs>
                <w:tab w:val="left" w:pos="346"/>
                <w:tab w:val="left" w:pos="2302"/>
              </w:tabs>
              <w:suppressAutoHyphens/>
              <w:jc w:val="both"/>
              <w:rPr>
                <w:color w:val="000000"/>
                <w:szCs w:val="24"/>
                <w:lang w:eastAsia="lt-LT"/>
              </w:rPr>
            </w:pPr>
            <w:r>
              <w:rPr>
                <w:color w:val="000000"/>
                <w:szCs w:val="24"/>
                <w:lang w:eastAsia="lt-LT"/>
              </w:rPr>
              <w:t>1.</w:t>
            </w:r>
            <w:r>
              <w:rPr>
                <w:color w:val="000000"/>
                <w:szCs w:val="24"/>
                <w:lang w:eastAsia="lt-LT"/>
              </w:rPr>
              <w:tab/>
              <w:t>Keliose skirtingose įmonėse ir (arba) skirtinguose projektuose yra vienas ir tas pats direktorius ir (arba) akcininkas ir (arba) pajininkas (pvz., pagal Agentūros informacinėse sistemose esančius duomenis).</w:t>
            </w:r>
          </w:p>
          <w:p w14:paraId="70E1A669" w14:textId="77777777" w:rsidR="00A8455F" w:rsidRDefault="00164F07">
            <w:pPr>
              <w:tabs>
                <w:tab w:val="left" w:pos="2302"/>
              </w:tabs>
              <w:suppressAutoHyphens/>
              <w:ind w:left="318" w:hanging="284"/>
              <w:jc w:val="both"/>
              <w:rPr>
                <w:szCs w:val="24"/>
                <w:lang w:eastAsia="lt-LT"/>
              </w:rPr>
            </w:pPr>
            <w:r>
              <w:rPr>
                <w:szCs w:val="24"/>
                <w:lang w:eastAsia="lt-LT"/>
              </w:rPr>
              <w:t>2.</w:t>
            </w:r>
            <w:r>
              <w:rPr>
                <w:szCs w:val="24"/>
                <w:lang w:eastAsia="lt-LT"/>
              </w:rPr>
              <w:tab/>
              <w:t>Įmones atstovauja tie patys asmenys arba asmenys, kurie yra tarpusavyje susiję, remiantis SVVĮ įstatymu.</w:t>
            </w:r>
          </w:p>
          <w:p w14:paraId="70E1A66A" w14:textId="77777777" w:rsidR="00A8455F" w:rsidRDefault="00164F07">
            <w:pPr>
              <w:tabs>
                <w:tab w:val="left" w:pos="2302"/>
              </w:tabs>
              <w:suppressAutoHyphens/>
              <w:ind w:left="318" w:hanging="284"/>
              <w:jc w:val="both"/>
              <w:rPr>
                <w:szCs w:val="24"/>
                <w:lang w:eastAsia="lt-LT"/>
              </w:rPr>
            </w:pPr>
            <w:r>
              <w:rPr>
                <w:szCs w:val="24"/>
                <w:lang w:eastAsia="lt-LT"/>
              </w:rPr>
              <w:t>3.</w:t>
            </w:r>
            <w:r>
              <w:rPr>
                <w:szCs w:val="24"/>
                <w:lang w:eastAsia="lt-LT"/>
              </w:rPr>
              <w:tab/>
              <w:t>Yra tas pats įmonės steigėjas, tas pats atstovas,</w:t>
            </w:r>
            <w:r>
              <w:rPr>
                <w:color w:val="000000"/>
                <w:szCs w:val="24"/>
                <w:lang w:eastAsia="lt-LT"/>
              </w:rPr>
              <w:t xml:space="preserve"> įmones pagal įgaliojimą atstovauja tas pats asmuo.</w:t>
            </w:r>
          </w:p>
        </w:tc>
      </w:tr>
      <w:tr w:rsidR="00A8455F" w14:paraId="70E1A670" w14:textId="77777777">
        <w:tc>
          <w:tcPr>
            <w:tcW w:w="675" w:type="dxa"/>
            <w:tcBorders>
              <w:top w:val="single" w:sz="4" w:space="0" w:color="000000"/>
              <w:left w:val="single" w:sz="4" w:space="0" w:color="000000"/>
              <w:bottom w:val="single" w:sz="4" w:space="0" w:color="000000"/>
            </w:tcBorders>
          </w:tcPr>
          <w:p w14:paraId="70E1A66C" w14:textId="77777777" w:rsidR="00A8455F" w:rsidRDefault="00164F07">
            <w:pPr>
              <w:ind w:left="142"/>
              <w:jc w:val="both"/>
              <w:rPr>
                <w:rFonts w:eastAsia="Calibri"/>
                <w:szCs w:val="24"/>
                <w:lang w:eastAsia="ar-SA"/>
              </w:rPr>
            </w:pPr>
            <w:r>
              <w:rPr>
                <w:rFonts w:eastAsia="Calibri"/>
                <w:szCs w:val="24"/>
                <w:lang w:eastAsia="ar-SA"/>
              </w:rPr>
              <w:t>4.</w:t>
            </w:r>
          </w:p>
        </w:tc>
        <w:tc>
          <w:tcPr>
            <w:tcW w:w="2727" w:type="dxa"/>
            <w:tcBorders>
              <w:top w:val="single" w:sz="4" w:space="0" w:color="000000"/>
              <w:left w:val="single" w:sz="4" w:space="0" w:color="000000"/>
              <w:bottom w:val="single" w:sz="4" w:space="0" w:color="000000"/>
            </w:tcBorders>
          </w:tcPr>
          <w:p w14:paraId="70E1A66D" w14:textId="77777777" w:rsidR="00A8455F" w:rsidRDefault="00164F07">
            <w:pPr>
              <w:snapToGrid w:val="0"/>
              <w:ind w:left="39"/>
              <w:jc w:val="both"/>
              <w:outlineLvl w:val="2"/>
              <w:rPr>
                <w:b/>
                <w:bCs/>
                <w:color w:val="000000"/>
                <w:szCs w:val="24"/>
                <w:lang w:eastAsia="lt-LT"/>
              </w:rPr>
            </w:pPr>
            <w:r>
              <w:rPr>
                <w:b/>
                <w:bCs/>
                <w:color w:val="000000"/>
                <w:szCs w:val="24"/>
                <w:lang w:eastAsia="lt-LT"/>
              </w:rPr>
              <w:t>Pareiškėjo arba paramos gavėjo patirtis įgyvendinant paramos projektus</w:t>
            </w:r>
          </w:p>
        </w:tc>
        <w:tc>
          <w:tcPr>
            <w:tcW w:w="10745" w:type="dxa"/>
            <w:tcBorders>
              <w:top w:val="single" w:sz="4" w:space="0" w:color="000000"/>
              <w:left w:val="single" w:sz="4" w:space="0" w:color="000000"/>
              <w:bottom w:val="single" w:sz="4" w:space="0" w:color="000000"/>
              <w:right w:val="single" w:sz="4" w:space="0" w:color="000000"/>
            </w:tcBorders>
          </w:tcPr>
          <w:p w14:paraId="70E1A66E" w14:textId="77777777" w:rsidR="00A8455F" w:rsidRDefault="00164F07">
            <w:pPr>
              <w:tabs>
                <w:tab w:val="left" w:pos="771"/>
                <w:tab w:val="left" w:pos="2302"/>
              </w:tabs>
              <w:suppressAutoHyphens/>
              <w:jc w:val="both"/>
              <w:rPr>
                <w:color w:val="000000"/>
                <w:szCs w:val="24"/>
                <w:lang w:eastAsia="lt-LT"/>
              </w:rPr>
            </w:pPr>
            <w:r>
              <w:rPr>
                <w:color w:val="000000"/>
                <w:szCs w:val="24"/>
                <w:lang w:eastAsia="lt-LT"/>
              </w:rPr>
              <w:t>Jei įmonės, įgyvendinančios arba planuojančios įgyvendinti projektą (projektus) įsteigtos ne anksčiau kaip prieš pusmetį prieš paraiškos pateikimą (įmonės registracijos data), skirtingų pareiškėjų įmonių įsteigimo diena ir (arba) paraiškos pateikimo diena ta pati (pvz., pagal Agentūros informacinėse sistemose esančius duomenis).</w:t>
            </w:r>
          </w:p>
          <w:p w14:paraId="70E1A66F" w14:textId="5C473211" w:rsidR="00A8455F" w:rsidRDefault="00A8455F">
            <w:pPr>
              <w:tabs>
                <w:tab w:val="left" w:pos="747"/>
                <w:tab w:val="left" w:pos="2302"/>
              </w:tabs>
              <w:suppressAutoHyphens/>
              <w:ind w:left="360"/>
              <w:jc w:val="both"/>
              <w:rPr>
                <w:color w:val="000000"/>
                <w:szCs w:val="24"/>
                <w:lang w:eastAsia="lt-LT"/>
              </w:rPr>
            </w:pPr>
          </w:p>
        </w:tc>
      </w:tr>
    </w:tbl>
    <w:bookmarkStart w:id="0" w:name="_GoBack" w:displacedByCustomXml="prev"/>
    <w:p w14:paraId="70E1A674" w14:textId="0DC47311" w:rsidR="00A8455F" w:rsidRDefault="00164F07" w:rsidP="00890CAB">
      <w:pPr>
        <w:ind w:left="10370" w:hanging="10370"/>
        <w:jc w:val="center"/>
      </w:pPr>
      <w:r>
        <w:t>_______________________</w:t>
      </w:r>
    </w:p>
    <w:bookmarkEnd w:id="0" w:displacedByCustomXml="next"/>
    <w:p w14:paraId="683FB395" w14:textId="77777777" w:rsidR="00890CAB" w:rsidRDefault="00890CAB">
      <w:pPr>
        <w:ind w:left="10370"/>
        <w:sectPr w:rsidR="00890CAB">
          <w:pgSz w:w="16840" w:h="11907" w:orient="landscape"/>
          <w:pgMar w:top="1701" w:right="1247" w:bottom="568" w:left="709" w:header="567" w:footer="567" w:gutter="0"/>
          <w:cols w:space="1296"/>
          <w:titlePg/>
          <w:docGrid w:linePitch="326"/>
        </w:sectPr>
      </w:pPr>
    </w:p>
    <w:p w14:paraId="70E1A675" w14:textId="61A0934C" w:rsidR="00A8455F" w:rsidRDefault="00164F07">
      <w:pPr>
        <w:ind w:left="10370"/>
      </w:pPr>
      <w:r>
        <w:lastRenderedPageBreak/>
        <w:t xml:space="preserve">Dirbtinai sukurtų sąlygų paramai gauti nustatymo metodikos </w:t>
      </w:r>
    </w:p>
    <w:p w14:paraId="70E1A676" w14:textId="77777777" w:rsidR="00A8455F" w:rsidRDefault="00890CAB">
      <w:pPr>
        <w:ind w:left="10370"/>
      </w:pPr>
      <w:r w:rsidR="00164F07">
        <w:t>2</w:t>
      </w:r>
      <w:r w:rsidR="00164F07">
        <w:t xml:space="preserve"> priedas</w:t>
      </w:r>
    </w:p>
    <w:p w14:paraId="70E1A677" w14:textId="77777777" w:rsidR="00A8455F" w:rsidRDefault="00A8455F">
      <w:pPr>
        <w:ind w:left="10370"/>
      </w:pPr>
    </w:p>
    <w:p w14:paraId="70E1A678" w14:textId="77777777" w:rsidR="00A8455F" w:rsidRDefault="00A8455F">
      <w:pPr>
        <w:ind w:left="10370"/>
      </w:pPr>
    </w:p>
    <w:p w14:paraId="70E1A679" w14:textId="77777777" w:rsidR="00A8455F" w:rsidRDefault="00890CAB">
      <w:pPr>
        <w:keepNext/>
        <w:suppressAutoHyphens/>
        <w:jc w:val="center"/>
        <w:rPr>
          <w:b/>
          <w:bCs/>
          <w:szCs w:val="24"/>
        </w:rPr>
      </w:pPr>
      <w:r w:rsidR="00164F07">
        <w:rPr>
          <w:b/>
          <w:bCs/>
          <w:szCs w:val="24"/>
        </w:rPr>
        <w:t>RIZIKOS KRITERIJAI DIRBTINAI SUKURTŲ SĄLYGŲ PARAMAI GAUTI NUSTATYMUI PROJEKTO ADMINSTRAVIMO IR PRIEŽIŪROS METU</w:t>
      </w:r>
    </w:p>
    <w:p w14:paraId="70E1A67A" w14:textId="77777777" w:rsidR="00A8455F" w:rsidRDefault="00A8455F">
      <w:pPr>
        <w:keepNext/>
        <w:suppressAutoHyphens/>
        <w:jc w:val="center"/>
        <w:rPr>
          <w:b/>
          <w:bCs/>
          <w:szCs w:val="24"/>
        </w:rPr>
      </w:pPr>
    </w:p>
    <w:tbl>
      <w:tblPr>
        <w:tblW w:w="0" w:type="auto"/>
        <w:tblInd w:w="-5" w:type="dxa"/>
        <w:tblLayout w:type="fixed"/>
        <w:tblLook w:val="0000" w:firstRow="0" w:lastRow="0" w:firstColumn="0" w:lastColumn="0" w:noHBand="0" w:noVBand="0"/>
      </w:tblPr>
      <w:tblGrid>
        <w:gridCol w:w="675"/>
        <w:gridCol w:w="2727"/>
        <w:gridCol w:w="10745"/>
      </w:tblGrid>
      <w:tr w:rsidR="00A8455F" w14:paraId="70E1A67E" w14:textId="77777777">
        <w:trPr>
          <w:trHeight w:val="362"/>
        </w:trPr>
        <w:tc>
          <w:tcPr>
            <w:tcW w:w="675" w:type="dxa"/>
            <w:tcBorders>
              <w:top w:val="single" w:sz="4" w:space="0" w:color="000000"/>
              <w:left w:val="single" w:sz="4" w:space="0" w:color="000000"/>
              <w:bottom w:val="single" w:sz="4" w:space="0" w:color="000000"/>
            </w:tcBorders>
            <w:shd w:val="clear" w:color="auto" w:fill="FFFFFF" w:themeFill="background1"/>
          </w:tcPr>
          <w:p w14:paraId="70E1A67B" w14:textId="77777777" w:rsidR="00A8455F" w:rsidRDefault="00164F07">
            <w:pPr>
              <w:tabs>
                <w:tab w:val="left" w:pos="2302"/>
              </w:tabs>
              <w:suppressAutoHyphens/>
              <w:snapToGrid w:val="0"/>
              <w:jc w:val="both"/>
              <w:rPr>
                <w:b/>
                <w:szCs w:val="24"/>
                <w:lang w:eastAsia="ar-SA"/>
              </w:rPr>
            </w:pPr>
            <w:r>
              <w:rPr>
                <w:b/>
                <w:szCs w:val="24"/>
                <w:lang w:eastAsia="ar-SA"/>
              </w:rPr>
              <w:t>Eil. Nr.</w:t>
            </w:r>
          </w:p>
        </w:tc>
        <w:tc>
          <w:tcPr>
            <w:tcW w:w="2727" w:type="dxa"/>
            <w:tcBorders>
              <w:top w:val="single" w:sz="4" w:space="0" w:color="000000"/>
              <w:left w:val="single" w:sz="4" w:space="0" w:color="000000"/>
              <w:bottom w:val="single" w:sz="4" w:space="0" w:color="000000"/>
            </w:tcBorders>
            <w:shd w:val="clear" w:color="auto" w:fill="FFFFFF" w:themeFill="background1"/>
          </w:tcPr>
          <w:p w14:paraId="70E1A67C" w14:textId="77777777" w:rsidR="00A8455F" w:rsidRDefault="00164F07">
            <w:pPr>
              <w:snapToGrid w:val="0"/>
              <w:ind w:left="72" w:hanging="72"/>
              <w:jc w:val="both"/>
              <w:outlineLvl w:val="2"/>
              <w:rPr>
                <w:b/>
                <w:szCs w:val="24"/>
              </w:rPr>
            </w:pPr>
            <w:r>
              <w:rPr>
                <w:b/>
                <w:szCs w:val="24"/>
              </w:rPr>
              <w:t>Rizikos kriterijus</w:t>
            </w:r>
          </w:p>
        </w:tc>
        <w:tc>
          <w:tcPr>
            <w:tcW w:w="107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E1A67D" w14:textId="77777777" w:rsidR="00A8455F" w:rsidRDefault="00164F07">
            <w:pPr>
              <w:tabs>
                <w:tab w:val="left" w:pos="2302"/>
              </w:tabs>
              <w:suppressAutoHyphens/>
              <w:ind w:left="38"/>
              <w:jc w:val="both"/>
              <w:rPr>
                <w:b/>
                <w:szCs w:val="24"/>
                <w:lang w:eastAsia="ar-SA"/>
              </w:rPr>
            </w:pPr>
            <w:r>
              <w:rPr>
                <w:b/>
                <w:szCs w:val="24"/>
                <w:lang w:eastAsia="ar-SA"/>
              </w:rPr>
              <w:t>Rizikos kriterijų detalizuojantys požymiai</w:t>
            </w:r>
          </w:p>
        </w:tc>
      </w:tr>
      <w:tr w:rsidR="00A8455F" w14:paraId="70E1A684" w14:textId="77777777">
        <w:tc>
          <w:tcPr>
            <w:tcW w:w="675" w:type="dxa"/>
            <w:tcBorders>
              <w:top w:val="single" w:sz="4" w:space="0" w:color="000000"/>
              <w:left w:val="single" w:sz="4" w:space="0" w:color="000000"/>
              <w:bottom w:val="single" w:sz="4" w:space="0" w:color="000000"/>
            </w:tcBorders>
          </w:tcPr>
          <w:p w14:paraId="70E1A67F" w14:textId="77777777" w:rsidR="00A8455F" w:rsidRDefault="00164F07">
            <w:pPr>
              <w:ind w:left="142"/>
              <w:jc w:val="both"/>
              <w:rPr>
                <w:rFonts w:eastAsia="Calibri"/>
                <w:szCs w:val="24"/>
                <w:lang w:eastAsia="ar-SA"/>
              </w:rPr>
            </w:pPr>
            <w:r>
              <w:rPr>
                <w:rFonts w:eastAsia="Calibri"/>
                <w:szCs w:val="24"/>
                <w:lang w:eastAsia="ar-SA"/>
              </w:rPr>
              <w:t>1.</w:t>
            </w:r>
          </w:p>
        </w:tc>
        <w:tc>
          <w:tcPr>
            <w:tcW w:w="2727" w:type="dxa"/>
            <w:tcBorders>
              <w:top w:val="single" w:sz="4" w:space="0" w:color="000000"/>
              <w:left w:val="single" w:sz="4" w:space="0" w:color="000000"/>
              <w:bottom w:val="single" w:sz="4" w:space="0" w:color="000000"/>
            </w:tcBorders>
          </w:tcPr>
          <w:p w14:paraId="70E1A680" w14:textId="77777777" w:rsidR="00A8455F" w:rsidRDefault="00164F07">
            <w:pPr>
              <w:snapToGrid w:val="0"/>
              <w:ind w:left="39"/>
              <w:jc w:val="both"/>
              <w:outlineLvl w:val="2"/>
              <w:rPr>
                <w:szCs w:val="24"/>
              </w:rPr>
            </w:pPr>
            <w:r>
              <w:rPr>
                <w:b/>
                <w:color w:val="000000"/>
                <w:szCs w:val="24"/>
                <w:lang w:eastAsia="lt-LT"/>
              </w:rPr>
              <w:t>Projekto (projektų)</w:t>
            </w:r>
            <w:r>
              <w:rPr>
                <w:b/>
                <w:bCs/>
                <w:color w:val="000000"/>
                <w:szCs w:val="24"/>
                <w:lang w:eastAsia="lt-LT"/>
              </w:rPr>
              <w:t xml:space="preserve"> įgyvendinimo vieta</w:t>
            </w:r>
          </w:p>
        </w:tc>
        <w:tc>
          <w:tcPr>
            <w:tcW w:w="10745" w:type="dxa"/>
            <w:tcBorders>
              <w:top w:val="single" w:sz="4" w:space="0" w:color="000000"/>
              <w:left w:val="single" w:sz="4" w:space="0" w:color="000000"/>
              <w:bottom w:val="single" w:sz="4" w:space="0" w:color="000000"/>
              <w:right w:val="single" w:sz="4" w:space="0" w:color="000000"/>
            </w:tcBorders>
          </w:tcPr>
          <w:p w14:paraId="70E1A681" w14:textId="77777777" w:rsidR="00A8455F" w:rsidRDefault="00164F07">
            <w:pPr>
              <w:tabs>
                <w:tab w:val="left" w:pos="34"/>
                <w:tab w:val="left" w:pos="2302"/>
              </w:tabs>
              <w:suppressAutoHyphens/>
              <w:ind w:left="38"/>
              <w:jc w:val="both"/>
              <w:rPr>
                <w:color w:val="000000"/>
                <w:szCs w:val="24"/>
                <w:lang w:eastAsia="lt-LT"/>
              </w:rPr>
            </w:pPr>
            <w:r>
              <w:rPr>
                <w:color w:val="000000"/>
                <w:szCs w:val="24"/>
                <w:lang w:eastAsia="lt-LT"/>
              </w:rPr>
              <w:t>1. Kelios (2 ir daugiau) įmonės ir (arba) fiziniai asmenys planuoja įgyvendinti ir (arba) įgyvendina projektus tuose pačiuose pastatuose ir (arba) tuose pačiuose žemės sklypuose (pvz., pagal kadastro unikalius numerius).</w:t>
            </w:r>
          </w:p>
          <w:p w14:paraId="70E1A682" w14:textId="77777777" w:rsidR="00A8455F" w:rsidRDefault="00164F07">
            <w:pPr>
              <w:tabs>
                <w:tab w:val="left" w:pos="2302"/>
              </w:tabs>
              <w:suppressAutoHyphens/>
              <w:ind w:left="38"/>
              <w:jc w:val="both"/>
              <w:rPr>
                <w:color w:val="000000"/>
                <w:szCs w:val="24"/>
                <w:lang w:eastAsia="lt-LT"/>
              </w:rPr>
            </w:pPr>
            <w:r>
              <w:rPr>
                <w:color w:val="000000"/>
                <w:szCs w:val="24"/>
                <w:lang w:eastAsia="lt-LT"/>
              </w:rPr>
              <w:t>2. Keli projektai įgyvendinami gretimuose (t. y. šalia esančiuose, kaimyniniuose) žemės sklypuose arba žemės sklypai ribojasi vienas su kitu arba žemės sklypai priklauso tiems patiems subjektams (nuosavybės, nuomos pagrindais arba kitais teisėtais valdymo pagrindais) (pvz., pagal VĮ Registrų centro duomenis).</w:t>
            </w:r>
          </w:p>
          <w:p w14:paraId="70E1A683" w14:textId="77777777" w:rsidR="00A8455F" w:rsidRDefault="00164F07">
            <w:pPr>
              <w:tabs>
                <w:tab w:val="left" w:pos="2302"/>
              </w:tabs>
              <w:suppressAutoHyphens/>
              <w:ind w:left="38"/>
              <w:jc w:val="both"/>
              <w:rPr>
                <w:szCs w:val="24"/>
                <w:lang w:eastAsia="ar-SA"/>
              </w:rPr>
            </w:pPr>
            <w:r>
              <w:rPr>
                <w:color w:val="000000"/>
                <w:szCs w:val="24"/>
                <w:lang w:eastAsia="lt-LT"/>
              </w:rPr>
              <w:t xml:space="preserve">3. Kelių pareiškėjų ir (arba) paramos gavėjų kontaktiniai duomenys (pvz., įmonės registracijos vieta, elektroninio pašto adresai, kontaktinių telefonų numeriai) yra tie patys. </w:t>
            </w:r>
          </w:p>
        </w:tc>
      </w:tr>
      <w:tr w:rsidR="00A8455F" w14:paraId="70E1A68A" w14:textId="77777777">
        <w:tc>
          <w:tcPr>
            <w:tcW w:w="675" w:type="dxa"/>
            <w:tcBorders>
              <w:top w:val="single" w:sz="4" w:space="0" w:color="000000"/>
              <w:left w:val="single" w:sz="4" w:space="0" w:color="000000"/>
              <w:bottom w:val="single" w:sz="4" w:space="0" w:color="000000"/>
            </w:tcBorders>
          </w:tcPr>
          <w:p w14:paraId="70E1A685" w14:textId="77777777" w:rsidR="00A8455F" w:rsidRDefault="00164F07">
            <w:pPr>
              <w:ind w:left="426" w:hanging="250"/>
              <w:jc w:val="both"/>
              <w:rPr>
                <w:rFonts w:eastAsia="Calibri"/>
                <w:szCs w:val="24"/>
                <w:lang w:eastAsia="ar-SA"/>
              </w:rPr>
            </w:pPr>
            <w:r>
              <w:rPr>
                <w:rFonts w:eastAsia="Calibri"/>
                <w:szCs w:val="24"/>
                <w:lang w:eastAsia="ar-SA"/>
              </w:rPr>
              <w:t>2.</w:t>
            </w:r>
          </w:p>
        </w:tc>
        <w:tc>
          <w:tcPr>
            <w:tcW w:w="2727" w:type="dxa"/>
            <w:tcBorders>
              <w:top w:val="single" w:sz="4" w:space="0" w:color="000000"/>
              <w:left w:val="single" w:sz="4" w:space="0" w:color="000000"/>
              <w:bottom w:val="single" w:sz="4" w:space="0" w:color="000000"/>
            </w:tcBorders>
          </w:tcPr>
          <w:p w14:paraId="70E1A686" w14:textId="77777777" w:rsidR="00A8455F" w:rsidRDefault="00164F07">
            <w:pPr>
              <w:snapToGrid w:val="0"/>
              <w:ind w:left="39"/>
              <w:jc w:val="both"/>
              <w:outlineLvl w:val="2"/>
              <w:rPr>
                <w:b/>
                <w:bCs/>
                <w:color w:val="000000"/>
                <w:szCs w:val="24"/>
                <w:lang w:eastAsia="lt-LT"/>
              </w:rPr>
            </w:pPr>
            <w:r>
              <w:rPr>
                <w:b/>
                <w:bCs/>
                <w:color w:val="000000"/>
                <w:szCs w:val="24"/>
                <w:lang w:eastAsia="lt-LT"/>
              </w:rPr>
              <w:t>Projekte (projektuose) numatyta vykdyti arba vykdoma veikla</w:t>
            </w:r>
          </w:p>
        </w:tc>
        <w:tc>
          <w:tcPr>
            <w:tcW w:w="10745" w:type="dxa"/>
            <w:tcBorders>
              <w:top w:val="single" w:sz="4" w:space="0" w:color="000000"/>
              <w:left w:val="single" w:sz="4" w:space="0" w:color="000000"/>
              <w:bottom w:val="single" w:sz="4" w:space="0" w:color="000000"/>
              <w:right w:val="single" w:sz="4" w:space="0" w:color="000000"/>
            </w:tcBorders>
          </w:tcPr>
          <w:p w14:paraId="70E1A687" w14:textId="77777777" w:rsidR="00A8455F" w:rsidRDefault="00164F07">
            <w:pPr>
              <w:tabs>
                <w:tab w:val="left" w:pos="63"/>
                <w:tab w:val="left" w:pos="289"/>
                <w:tab w:val="left" w:pos="2302"/>
              </w:tabs>
              <w:suppressAutoHyphens/>
              <w:ind w:firstLine="60"/>
              <w:jc w:val="both"/>
              <w:rPr>
                <w:color w:val="000000"/>
                <w:szCs w:val="24"/>
                <w:lang w:eastAsia="lt-LT"/>
              </w:rPr>
            </w:pPr>
            <w:r>
              <w:rPr>
                <w:color w:val="000000"/>
                <w:szCs w:val="24"/>
                <w:lang w:eastAsia="lt-LT"/>
              </w:rPr>
              <w:t>1.</w:t>
            </w:r>
            <w:r>
              <w:rPr>
                <w:color w:val="000000"/>
                <w:szCs w:val="24"/>
                <w:lang w:eastAsia="lt-LT"/>
              </w:rPr>
              <w:tab/>
              <w:t>Skirtingų pareiškėjų ir (arba) paramos gavėjų projektuose numatyta vykdyti arba vykdoma tokia pati veikla (pvz., pagal E</w:t>
            </w:r>
            <w:r>
              <w:rPr>
                <w:color w:val="222222"/>
                <w:lang w:eastAsia="ar-SA"/>
              </w:rPr>
              <w:t>konominės veiklos rūšių klasifikatorių</w:t>
            </w:r>
            <w:r>
              <w:rPr>
                <w:rFonts w:ascii="Arial" w:hAnsi="Arial" w:cs="Arial"/>
                <w:color w:val="222222"/>
                <w:lang w:eastAsia="ar-SA"/>
              </w:rPr>
              <w:t xml:space="preserve"> (</w:t>
            </w:r>
            <w:r>
              <w:rPr>
                <w:color w:val="000000"/>
                <w:szCs w:val="24"/>
                <w:lang w:eastAsia="lt-LT"/>
              </w:rPr>
              <w:t>EVRK), išskyrus atvejus, kai projektus vykdo tas pats pareiškėjas arba paramos gavėjas.</w:t>
            </w:r>
          </w:p>
          <w:p w14:paraId="70E1A688" w14:textId="77777777" w:rsidR="00A8455F" w:rsidRDefault="00164F07">
            <w:pPr>
              <w:tabs>
                <w:tab w:val="left" w:pos="63"/>
                <w:tab w:val="left" w:pos="289"/>
                <w:tab w:val="left" w:pos="913"/>
                <w:tab w:val="left" w:pos="2302"/>
              </w:tabs>
              <w:suppressAutoHyphens/>
              <w:ind w:left="5" w:firstLine="55"/>
              <w:jc w:val="both"/>
              <w:rPr>
                <w:color w:val="000000"/>
                <w:szCs w:val="24"/>
                <w:lang w:eastAsia="lt-LT"/>
              </w:rPr>
            </w:pPr>
            <w:r>
              <w:rPr>
                <w:color w:val="000000"/>
                <w:szCs w:val="24"/>
                <w:lang w:eastAsia="lt-LT"/>
              </w:rPr>
              <w:t>2.</w:t>
            </w:r>
            <w:r>
              <w:rPr>
                <w:color w:val="000000"/>
                <w:szCs w:val="24"/>
                <w:lang w:eastAsia="lt-LT"/>
              </w:rPr>
              <w:tab/>
              <w:t>Skirtingų pareiškėjų ir (arba) paramos gavėjų planuojama ir (arba) vykdoma veikla viena kitą įtakoja, t. y. galutiniam rezultatui gauti reikalinga dviejų ar daugiau įmonių veikla ir (arba) investicijos (pvz., pagal vidinių ir išorės registrų duomenis).</w:t>
            </w:r>
          </w:p>
          <w:p w14:paraId="70E1A689" w14:textId="77777777" w:rsidR="00A8455F" w:rsidRDefault="00164F07">
            <w:pPr>
              <w:tabs>
                <w:tab w:val="left" w:pos="63"/>
                <w:tab w:val="left" w:pos="346"/>
                <w:tab w:val="left" w:pos="913"/>
                <w:tab w:val="left" w:pos="2302"/>
              </w:tabs>
              <w:suppressAutoHyphens/>
              <w:ind w:left="420" w:hanging="360"/>
              <w:jc w:val="both"/>
              <w:rPr>
                <w:color w:val="000000"/>
                <w:szCs w:val="24"/>
                <w:lang w:eastAsia="lt-LT"/>
              </w:rPr>
            </w:pPr>
            <w:r>
              <w:rPr>
                <w:color w:val="000000"/>
                <w:szCs w:val="24"/>
                <w:lang w:eastAsia="lt-LT"/>
              </w:rPr>
              <w:t>3.</w:t>
            </w:r>
            <w:r>
              <w:rPr>
                <w:color w:val="000000"/>
                <w:szCs w:val="24"/>
                <w:lang w:eastAsia="lt-LT"/>
              </w:rPr>
              <w:tab/>
            </w:r>
            <w:r>
              <w:rPr>
                <w:szCs w:val="24"/>
                <w:lang w:eastAsia="ar-SA"/>
              </w:rPr>
              <w:t>Nustatomas funkcinis nesavarankiškumas</w:t>
            </w:r>
            <w:r>
              <w:rPr>
                <w:color w:val="000000"/>
                <w:szCs w:val="24"/>
                <w:lang w:eastAsia="lt-LT"/>
              </w:rPr>
              <w:t>.</w:t>
            </w:r>
          </w:p>
        </w:tc>
      </w:tr>
      <w:tr w:rsidR="00A8455F" w14:paraId="70E1A691" w14:textId="77777777">
        <w:trPr>
          <w:trHeight w:val="990"/>
        </w:trPr>
        <w:tc>
          <w:tcPr>
            <w:tcW w:w="675" w:type="dxa"/>
            <w:tcBorders>
              <w:top w:val="single" w:sz="4" w:space="0" w:color="000000"/>
              <w:left w:val="single" w:sz="4" w:space="0" w:color="000000"/>
              <w:bottom w:val="single" w:sz="4" w:space="0" w:color="000000"/>
            </w:tcBorders>
          </w:tcPr>
          <w:p w14:paraId="70E1A68B" w14:textId="77777777" w:rsidR="00A8455F" w:rsidRDefault="00164F07">
            <w:pPr>
              <w:ind w:left="426" w:hanging="250"/>
              <w:jc w:val="both"/>
              <w:rPr>
                <w:rFonts w:eastAsia="Calibri"/>
                <w:szCs w:val="24"/>
                <w:lang w:eastAsia="ar-SA"/>
              </w:rPr>
            </w:pPr>
            <w:r>
              <w:rPr>
                <w:rFonts w:eastAsia="Calibri"/>
                <w:szCs w:val="24"/>
                <w:lang w:eastAsia="ar-SA"/>
              </w:rPr>
              <w:t>3.</w:t>
            </w:r>
          </w:p>
        </w:tc>
        <w:tc>
          <w:tcPr>
            <w:tcW w:w="2727" w:type="dxa"/>
            <w:tcBorders>
              <w:top w:val="single" w:sz="4" w:space="0" w:color="000000"/>
              <w:left w:val="single" w:sz="4" w:space="0" w:color="000000"/>
              <w:bottom w:val="single" w:sz="4" w:space="0" w:color="000000"/>
            </w:tcBorders>
          </w:tcPr>
          <w:p w14:paraId="70E1A68C" w14:textId="77777777" w:rsidR="00A8455F" w:rsidRDefault="00164F07">
            <w:pPr>
              <w:snapToGrid w:val="0"/>
              <w:ind w:left="39"/>
              <w:jc w:val="both"/>
              <w:outlineLvl w:val="2"/>
              <w:rPr>
                <w:b/>
                <w:bCs/>
                <w:color w:val="000000"/>
                <w:szCs w:val="24"/>
                <w:lang w:eastAsia="lt-LT"/>
              </w:rPr>
            </w:pPr>
            <w:r>
              <w:rPr>
                <w:b/>
                <w:bCs/>
                <w:color w:val="000000"/>
                <w:szCs w:val="24"/>
                <w:lang w:eastAsia="lt-LT"/>
              </w:rPr>
              <w:t>Susiję asmenys, susiję projektai, partnerinės įmonės</w:t>
            </w:r>
          </w:p>
          <w:p w14:paraId="70E1A68D" w14:textId="77777777" w:rsidR="00A8455F" w:rsidRDefault="00A8455F">
            <w:pPr>
              <w:rPr>
                <w:rFonts w:ascii="Calibri" w:eastAsia="Calibri" w:hAnsi="Calibri"/>
                <w:sz w:val="22"/>
                <w:lang w:eastAsia="lt-LT"/>
              </w:rPr>
            </w:pPr>
          </w:p>
        </w:tc>
        <w:tc>
          <w:tcPr>
            <w:tcW w:w="10745" w:type="dxa"/>
            <w:tcBorders>
              <w:top w:val="single" w:sz="4" w:space="0" w:color="000000"/>
              <w:left w:val="single" w:sz="4" w:space="0" w:color="000000"/>
              <w:bottom w:val="single" w:sz="4" w:space="0" w:color="000000"/>
              <w:right w:val="single" w:sz="4" w:space="0" w:color="000000"/>
            </w:tcBorders>
          </w:tcPr>
          <w:p w14:paraId="70E1A68E" w14:textId="77777777" w:rsidR="00A8455F" w:rsidRDefault="00164F07">
            <w:pPr>
              <w:tabs>
                <w:tab w:val="left" w:pos="346"/>
                <w:tab w:val="left" w:pos="2302"/>
              </w:tabs>
              <w:suppressAutoHyphens/>
              <w:ind w:left="63"/>
              <w:jc w:val="both"/>
              <w:rPr>
                <w:color w:val="000000"/>
                <w:szCs w:val="24"/>
                <w:lang w:eastAsia="lt-LT"/>
              </w:rPr>
            </w:pPr>
            <w:r>
              <w:rPr>
                <w:color w:val="000000"/>
                <w:szCs w:val="24"/>
                <w:lang w:eastAsia="lt-LT"/>
              </w:rPr>
              <w:t>1. Keliose skirtingose įmonėse ir (arba) skirtinguose projektuose yra vienas ir tas pats direktorius ir (arba) akcininkas ir (arba) pajininkas (pvz., pagal Agentūros informacinėse sistemose esančius duomenis).</w:t>
            </w:r>
          </w:p>
          <w:p w14:paraId="70E1A68F" w14:textId="77777777" w:rsidR="00A8455F" w:rsidRDefault="00164F07">
            <w:pPr>
              <w:tabs>
                <w:tab w:val="left" w:pos="2302"/>
              </w:tabs>
              <w:suppressAutoHyphens/>
              <w:ind w:left="63"/>
              <w:jc w:val="both"/>
              <w:rPr>
                <w:szCs w:val="24"/>
                <w:lang w:eastAsia="lt-LT"/>
              </w:rPr>
            </w:pPr>
            <w:r>
              <w:rPr>
                <w:szCs w:val="24"/>
                <w:lang w:eastAsia="lt-LT"/>
              </w:rPr>
              <w:t>2. Įmones atstovauja tie patys asmenys arba asmenys, kurie yra tarpusavy susiję, remiantis SVVĮ.</w:t>
            </w:r>
          </w:p>
          <w:p w14:paraId="70E1A690" w14:textId="77777777" w:rsidR="00A8455F" w:rsidRDefault="00164F07">
            <w:pPr>
              <w:tabs>
                <w:tab w:val="left" w:pos="2302"/>
              </w:tabs>
              <w:suppressAutoHyphens/>
              <w:ind w:left="63"/>
              <w:jc w:val="both"/>
              <w:rPr>
                <w:szCs w:val="24"/>
                <w:lang w:eastAsia="lt-LT"/>
              </w:rPr>
            </w:pPr>
            <w:r>
              <w:rPr>
                <w:szCs w:val="24"/>
                <w:lang w:val="en-US" w:eastAsia="lt-LT"/>
              </w:rPr>
              <w:t>3. T</w:t>
            </w:r>
            <w:r>
              <w:rPr>
                <w:szCs w:val="24"/>
                <w:lang w:eastAsia="lt-LT"/>
              </w:rPr>
              <w:t>as pats įmonės steigėjas, tas pats atstovas,</w:t>
            </w:r>
            <w:r>
              <w:rPr>
                <w:color w:val="000000"/>
                <w:szCs w:val="24"/>
                <w:lang w:eastAsia="lt-LT"/>
              </w:rPr>
              <w:t xml:space="preserve"> įmones pagal įgaliojimą atstovauja tas pats asmuo.</w:t>
            </w:r>
          </w:p>
        </w:tc>
      </w:tr>
      <w:tr w:rsidR="00A8455F" w14:paraId="70E1A696" w14:textId="77777777">
        <w:tc>
          <w:tcPr>
            <w:tcW w:w="675" w:type="dxa"/>
            <w:tcBorders>
              <w:top w:val="single" w:sz="4" w:space="0" w:color="000000"/>
              <w:left w:val="single" w:sz="4" w:space="0" w:color="000000"/>
              <w:bottom w:val="single" w:sz="4" w:space="0" w:color="000000"/>
            </w:tcBorders>
          </w:tcPr>
          <w:p w14:paraId="70E1A692" w14:textId="77777777" w:rsidR="00A8455F" w:rsidRDefault="00164F07">
            <w:pPr>
              <w:ind w:left="426" w:hanging="250"/>
              <w:jc w:val="both"/>
              <w:rPr>
                <w:rFonts w:eastAsia="Calibri"/>
                <w:szCs w:val="24"/>
                <w:lang w:eastAsia="ar-SA"/>
              </w:rPr>
            </w:pPr>
            <w:r>
              <w:rPr>
                <w:rFonts w:eastAsia="Calibri"/>
                <w:szCs w:val="24"/>
                <w:lang w:eastAsia="ar-SA"/>
              </w:rPr>
              <w:t>4.</w:t>
            </w:r>
          </w:p>
        </w:tc>
        <w:tc>
          <w:tcPr>
            <w:tcW w:w="2727" w:type="dxa"/>
            <w:tcBorders>
              <w:top w:val="single" w:sz="4" w:space="0" w:color="000000"/>
              <w:left w:val="single" w:sz="4" w:space="0" w:color="000000"/>
              <w:bottom w:val="single" w:sz="4" w:space="0" w:color="000000"/>
            </w:tcBorders>
          </w:tcPr>
          <w:p w14:paraId="70E1A693" w14:textId="77777777" w:rsidR="00A8455F" w:rsidRDefault="00164F07">
            <w:pPr>
              <w:snapToGrid w:val="0"/>
              <w:ind w:left="39"/>
              <w:jc w:val="both"/>
              <w:outlineLvl w:val="2"/>
              <w:rPr>
                <w:b/>
                <w:bCs/>
                <w:color w:val="000000"/>
                <w:szCs w:val="24"/>
                <w:lang w:eastAsia="lt-LT"/>
              </w:rPr>
            </w:pPr>
            <w:r>
              <w:rPr>
                <w:b/>
                <w:bCs/>
                <w:color w:val="000000"/>
                <w:szCs w:val="24"/>
                <w:lang w:eastAsia="lt-LT"/>
              </w:rPr>
              <w:t>Pareiškėjo arba paramos gavėjo patirtis, įgyvendinant paramos projektus</w:t>
            </w:r>
          </w:p>
        </w:tc>
        <w:tc>
          <w:tcPr>
            <w:tcW w:w="10745" w:type="dxa"/>
            <w:tcBorders>
              <w:top w:val="single" w:sz="4" w:space="0" w:color="000000"/>
              <w:left w:val="single" w:sz="4" w:space="0" w:color="000000"/>
              <w:bottom w:val="single" w:sz="4" w:space="0" w:color="000000"/>
              <w:right w:val="single" w:sz="4" w:space="0" w:color="000000"/>
            </w:tcBorders>
          </w:tcPr>
          <w:p w14:paraId="70E1A694" w14:textId="77777777" w:rsidR="00A8455F" w:rsidRDefault="00164F07">
            <w:pPr>
              <w:tabs>
                <w:tab w:val="left" w:pos="771"/>
                <w:tab w:val="left" w:pos="2302"/>
              </w:tabs>
              <w:suppressAutoHyphens/>
              <w:jc w:val="both"/>
              <w:rPr>
                <w:color w:val="000000"/>
                <w:szCs w:val="24"/>
                <w:lang w:eastAsia="lt-LT"/>
              </w:rPr>
            </w:pPr>
            <w:r>
              <w:rPr>
                <w:color w:val="000000"/>
                <w:szCs w:val="24"/>
                <w:lang w:eastAsia="lt-LT"/>
              </w:rPr>
              <w:t>Jei įmonės, įgyvendinančios arba planuojančios įgyvendinti projektą (projektus) įsteigtos ne anksčiau kaip prieš pusmetį prieš paraiškos pateikimą (įmonės registracijos data) (pvz., pagal Agentūros informacinėse sistemose esančius duomenis), skirtingų pareiškėjų įmonių įsteigimo diena, paraiškos pateikimo diena ta pati.</w:t>
            </w:r>
          </w:p>
          <w:p w14:paraId="70E1A695" w14:textId="77777777" w:rsidR="00A8455F" w:rsidRDefault="00A8455F">
            <w:pPr>
              <w:tabs>
                <w:tab w:val="left" w:pos="747"/>
                <w:tab w:val="left" w:pos="2302"/>
              </w:tabs>
              <w:suppressAutoHyphens/>
              <w:ind w:left="360"/>
              <w:jc w:val="both"/>
              <w:rPr>
                <w:color w:val="000000"/>
                <w:szCs w:val="24"/>
                <w:lang w:eastAsia="lt-LT"/>
              </w:rPr>
            </w:pPr>
          </w:p>
        </w:tc>
      </w:tr>
      <w:tr w:rsidR="00A8455F" w14:paraId="70E1A69A" w14:textId="77777777">
        <w:tc>
          <w:tcPr>
            <w:tcW w:w="675" w:type="dxa"/>
            <w:tcBorders>
              <w:top w:val="single" w:sz="4" w:space="0" w:color="000000"/>
              <w:left w:val="single" w:sz="4" w:space="0" w:color="000000"/>
              <w:bottom w:val="single" w:sz="4" w:space="0" w:color="000000"/>
            </w:tcBorders>
          </w:tcPr>
          <w:p w14:paraId="70E1A697" w14:textId="77777777" w:rsidR="00A8455F" w:rsidRDefault="00164F07">
            <w:pPr>
              <w:ind w:left="426" w:hanging="250"/>
              <w:jc w:val="both"/>
              <w:rPr>
                <w:rFonts w:eastAsia="Calibri"/>
                <w:szCs w:val="24"/>
                <w:lang w:eastAsia="ar-SA"/>
              </w:rPr>
            </w:pPr>
            <w:r>
              <w:rPr>
                <w:rFonts w:eastAsia="Calibri"/>
                <w:szCs w:val="24"/>
                <w:lang w:eastAsia="ar-SA"/>
              </w:rPr>
              <w:lastRenderedPageBreak/>
              <w:t>5.</w:t>
            </w:r>
          </w:p>
        </w:tc>
        <w:tc>
          <w:tcPr>
            <w:tcW w:w="2727" w:type="dxa"/>
            <w:tcBorders>
              <w:top w:val="single" w:sz="4" w:space="0" w:color="000000"/>
              <w:left w:val="single" w:sz="4" w:space="0" w:color="000000"/>
              <w:bottom w:val="single" w:sz="4" w:space="0" w:color="000000"/>
            </w:tcBorders>
          </w:tcPr>
          <w:p w14:paraId="70E1A698" w14:textId="77777777" w:rsidR="00A8455F" w:rsidRDefault="00164F07">
            <w:pPr>
              <w:snapToGrid w:val="0"/>
              <w:ind w:left="39"/>
              <w:jc w:val="both"/>
              <w:outlineLvl w:val="2"/>
              <w:rPr>
                <w:b/>
                <w:bCs/>
                <w:color w:val="000000"/>
                <w:szCs w:val="24"/>
                <w:lang w:eastAsia="lt-LT"/>
              </w:rPr>
            </w:pPr>
            <w:r>
              <w:rPr>
                <w:b/>
                <w:bCs/>
                <w:color w:val="000000"/>
                <w:szCs w:val="24"/>
                <w:lang w:eastAsia="lt-LT"/>
              </w:rPr>
              <w:t>Paramos gavėjų projektuose dalyvauja tie patys tiekėjai (rangovai)</w:t>
            </w:r>
          </w:p>
        </w:tc>
        <w:tc>
          <w:tcPr>
            <w:tcW w:w="10745" w:type="dxa"/>
            <w:tcBorders>
              <w:top w:val="single" w:sz="4" w:space="0" w:color="000000"/>
              <w:left w:val="single" w:sz="4" w:space="0" w:color="000000"/>
              <w:bottom w:val="single" w:sz="4" w:space="0" w:color="000000"/>
              <w:right w:val="single" w:sz="4" w:space="0" w:color="000000"/>
            </w:tcBorders>
          </w:tcPr>
          <w:p w14:paraId="70E1A699" w14:textId="77777777" w:rsidR="00A8455F" w:rsidRDefault="00164F07">
            <w:pPr>
              <w:tabs>
                <w:tab w:val="left" w:pos="771"/>
                <w:tab w:val="left" w:pos="2302"/>
              </w:tabs>
              <w:suppressAutoHyphens/>
              <w:jc w:val="both"/>
              <w:rPr>
                <w:color w:val="000000"/>
                <w:szCs w:val="24"/>
                <w:lang w:eastAsia="lt-LT"/>
              </w:rPr>
            </w:pPr>
            <w:r>
              <w:rPr>
                <w:color w:val="000000"/>
                <w:szCs w:val="24"/>
                <w:lang w:eastAsia="lt-LT"/>
              </w:rPr>
              <w:t>Skirtingų paramos gavėjų projektuose dalyvauja tie patys tiekėjai (rangovai) (remiantis pirkimo (apklausos arba konkurso) dokumentais), sudarytomis sutartimis (pvz., pagal Agentūros informacinėse sistemose esančius duomenis), skirtingų paramos gavėjų projektuose numatoma įsigyti identišką arba panašią įrangą ir (arba) techniką ir (arba) kitas investicijas.</w:t>
            </w:r>
          </w:p>
        </w:tc>
      </w:tr>
    </w:tbl>
    <w:p w14:paraId="70E1A69E" w14:textId="3F8B1003" w:rsidR="00A8455F" w:rsidRDefault="00164F07" w:rsidP="00164F07">
      <w:pPr>
        <w:jc w:val="center"/>
      </w:pPr>
      <w:r>
        <w:t>____________________</w:t>
      </w:r>
    </w:p>
    <w:sectPr w:rsidR="00A8455F">
      <w:pgSz w:w="16840" w:h="11907" w:orient="landscape"/>
      <w:pgMar w:top="1701" w:right="1247" w:bottom="568" w:left="709"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1A6A3" w14:textId="77777777" w:rsidR="00A8455F" w:rsidRDefault="00164F07">
      <w:r>
        <w:separator/>
      </w:r>
    </w:p>
  </w:endnote>
  <w:endnote w:type="continuationSeparator" w:id="0">
    <w:p w14:paraId="70E1A6A4" w14:textId="77777777" w:rsidR="00A8455F" w:rsidRDefault="0016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1A6A8" w14:textId="77777777" w:rsidR="00A8455F" w:rsidRDefault="00A8455F">
    <w:pPr>
      <w:tabs>
        <w:tab w:val="center" w:pos="4153"/>
        <w:tab w:val="right" w:pos="8306"/>
      </w:tabs>
      <w:overflowPunct w:val="0"/>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1A6A9" w14:textId="77777777" w:rsidR="00A8455F" w:rsidRDefault="00A8455F">
    <w:pPr>
      <w:tabs>
        <w:tab w:val="center" w:pos="4153"/>
        <w:tab w:val="right" w:pos="8306"/>
      </w:tabs>
      <w:overflowPunct w:val="0"/>
      <w:textAlignment w:val="baseline"/>
    </w:pPr>
  </w:p>
  <w:p w14:paraId="70E1A6AA" w14:textId="77777777" w:rsidR="00A8455F" w:rsidRDefault="00A8455F">
    <w:pPr>
      <w:tabs>
        <w:tab w:val="center" w:pos="4153"/>
        <w:tab w:val="right" w:pos="8306"/>
      </w:tabs>
      <w:overflowPunct w:val="0"/>
      <w:jc w:val="right"/>
      <w:textAlignment w:val="baseline"/>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1A6AC" w14:textId="77777777" w:rsidR="00A8455F" w:rsidRDefault="00A8455F">
    <w:pPr>
      <w:tabs>
        <w:tab w:val="center" w:pos="4153"/>
        <w:tab w:val="right" w:pos="8306"/>
      </w:tabs>
      <w:overflowPunct w:val="0"/>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1A6A1" w14:textId="77777777" w:rsidR="00A8455F" w:rsidRDefault="00164F07">
      <w:r>
        <w:separator/>
      </w:r>
    </w:p>
  </w:footnote>
  <w:footnote w:type="continuationSeparator" w:id="0">
    <w:p w14:paraId="70E1A6A2" w14:textId="77777777" w:rsidR="00A8455F" w:rsidRDefault="00164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1A6A5" w14:textId="77777777" w:rsidR="00A8455F" w:rsidRDefault="00A8455F">
    <w:pPr>
      <w:tabs>
        <w:tab w:val="center" w:pos="4153"/>
        <w:tab w:val="right" w:pos="8306"/>
      </w:tabs>
      <w:overflowPunct w:val="0"/>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1A6A6" w14:textId="77777777" w:rsidR="00A8455F" w:rsidRDefault="00A8455F">
    <w:pPr>
      <w:tabs>
        <w:tab w:val="center" w:pos="4153"/>
        <w:tab w:val="right" w:pos="8306"/>
      </w:tabs>
      <w:overflowPunct w:val="0"/>
      <w:jc w:val="center"/>
      <w:textAlignment w:val="baseline"/>
    </w:pPr>
  </w:p>
  <w:p w14:paraId="70E1A6A7" w14:textId="77777777" w:rsidR="00A8455F" w:rsidRDefault="00A8455F">
    <w:pPr>
      <w:tabs>
        <w:tab w:val="center" w:pos="4153"/>
        <w:tab w:val="right" w:pos="8306"/>
      </w:tabs>
      <w:overflowPunct w:val="0"/>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1A6AB" w14:textId="77777777" w:rsidR="00A8455F" w:rsidRDefault="00A8455F">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2D"/>
    <w:rsid w:val="00164F07"/>
    <w:rsid w:val="00337A2D"/>
    <w:rsid w:val="00890CAB"/>
    <w:rsid w:val="008B1E76"/>
    <w:rsid w:val="00A845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64F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64F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99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9910</Words>
  <Characters>5649</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2016-01-28T14:05:00Z</dcterms:created>
  <dc:creator>LAUKIONYTĖ Irena</dc:creator>
  <lastModifiedBy>PAPINIGIENĖ Augustė</lastModifiedBy>
  <dcterms:modified xsi:type="dcterms:W3CDTF">2016-01-28T14:53:00Z</dcterms:modified>
  <revision>5</revision>
</coreProperties>
</file>