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:rsidR="00E12642" w:rsidRDefault="00394001" w:rsidP="00394001">
      <w:pPr>
        <w:tabs>
          <w:tab w:val="center" w:pos="4153"/>
          <w:tab w:val="right" w:pos="8306"/>
        </w:tabs>
        <w:jc w:val="center"/>
        <w:rPr>
          <w:b/>
          <w:bCs/>
          <w:szCs w:val="24"/>
          <w:lang w:val="en-US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F5AA1B3" wp14:editId="42FA1BC8">
            <wp:extent cx="5810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42" w:rsidRDefault="00394001">
      <w:pPr>
        <w:keepNext/>
        <w:overflowPunct w:val="0"/>
        <w:jc w:val="center"/>
        <w:textAlignment w:val="baseline"/>
        <w:outlineLvl w:val="2"/>
        <w:rPr>
          <w:b/>
          <w:sz w:val="28"/>
        </w:rPr>
      </w:pPr>
      <w:r>
        <w:rPr>
          <w:b/>
          <w:sz w:val="28"/>
        </w:rPr>
        <w:t>KAIŠIADORIŲ RAJONO SAVIVALDYBĖS TARYBA</w:t>
      </w:r>
    </w:p>
    <w:p w:rsidR="00E12642" w:rsidRDefault="00E12642">
      <w:pPr>
        <w:jc w:val="center"/>
        <w:rPr>
          <w:b/>
          <w:szCs w:val="24"/>
          <w:lang w:eastAsia="lt-LT"/>
        </w:rPr>
      </w:pPr>
    </w:p>
    <w:p w:rsidR="00E12642" w:rsidRDefault="00394001">
      <w:pPr>
        <w:jc w:val="center"/>
        <w:rPr>
          <w:b/>
          <w:szCs w:val="24"/>
          <w:lang w:val="pt-BR" w:eastAsia="lt-LT"/>
        </w:rPr>
      </w:pPr>
      <w:r>
        <w:rPr>
          <w:b/>
          <w:szCs w:val="24"/>
          <w:lang w:val="pt-BR" w:eastAsia="lt-LT"/>
        </w:rPr>
        <w:t>SPRENDIMAS</w:t>
      </w:r>
    </w:p>
    <w:p w:rsidR="00E12642" w:rsidRDefault="00394001">
      <w:pPr>
        <w:keepNext/>
        <w:jc w:val="center"/>
        <w:rPr>
          <w:rFonts w:cs="Arial"/>
          <w:b/>
          <w:bCs/>
          <w:kern w:val="32"/>
          <w:szCs w:val="24"/>
          <w:lang w:eastAsia="lt-LT"/>
        </w:rPr>
      </w:pPr>
      <w:r>
        <w:rPr>
          <w:rFonts w:cs="Arial"/>
          <w:b/>
          <w:bCs/>
          <w:kern w:val="32"/>
          <w:szCs w:val="24"/>
          <w:lang w:eastAsia="lt-LT"/>
        </w:rPr>
        <w:t>DĖL KAIŠIADORIŲ RAJONO SAVIVALDYBĖS 2021 METŲ BIUDŽETO PATVIRTINIMO</w:t>
      </w:r>
    </w:p>
    <w:p w:rsidR="00E12642" w:rsidRDefault="00E12642">
      <w:pPr>
        <w:jc w:val="center"/>
        <w:rPr>
          <w:b/>
          <w:szCs w:val="24"/>
          <w:lang w:val="pt-BR" w:eastAsia="lt-LT"/>
        </w:rPr>
      </w:pPr>
    </w:p>
    <w:p w:rsidR="00E12642" w:rsidRPr="00394001" w:rsidRDefault="00394001">
      <w:pPr>
        <w:jc w:val="center"/>
        <w:rPr>
          <w:szCs w:val="24"/>
          <w:lang w:val="pt-BR" w:eastAsia="lt-LT"/>
        </w:rPr>
      </w:pPr>
      <w:r w:rsidRPr="00394001">
        <w:rPr>
          <w:szCs w:val="24"/>
          <w:lang w:val="pt-BR" w:eastAsia="lt-LT"/>
        </w:rPr>
        <w:t>2021 m. vasario 25 d. Nr. V17E-26</w:t>
      </w:r>
    </w:p>
    <w:p w:rsidR="00E12642" w:rsidRPr="00394001" w:rsidRDefault="00394001">
      <w:pPr>
        <w:jc w:val="center"/>
        <w:rPr>
          <w:szCs w:val="24"/>
          <w:lang w:val="pt-BR" w:eastAsia="lt-LT"/>
        </w:rPr>
      </w:pPr>
      <w:r w:rsidRPr="00394001">
        <w:rPr>
          <w:szCs w:val="24"/>
          <w:lang w:val="pt-BR" w:eastAsia="lt-LT"/>
        </w:rPr>
        <w:t>Kaišiadorys</w:t>
      </w:r>
    </w:p>
    <w:p w:rsidR="00E12642" w:rsidRPr="00394001" w:rsidRDefault="00E12642">
      <w:pPr>
        <w:rPr>
          <w:szCs w:val="24"/>
          <w:lang w:val="pt-BR" w:eastAsia="lt-LT"/>
        </w:rPr>
      </w:pPr>
    </w:p>
    <w:p w:rsidR="00E12642" w:rsidRPr="00394001" w:rsidRDefault="00E12642">
      <w:pPr>
        <w:rPr>
          <w:szCs w:val="24"/>
          <w:lang w:val="pt-BR" w:eastAsia="lt-LT"/>
        </w:rPr>
      </w:pP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 xml:space="preserve">Vadovaudamasi </w:t>
      </w:r>
      <w:r>
        <w:rPr>
          <w:szCs w:val="24"/>
          <w:lang w:eastAsia="lt-LT"/>
        </w:rPr>
        <w:t xml:space="preserve">Lietuvos Respublikos vietos savivaldos įstatymo 16 straipsnio 2 dalies 15 punktu, </w:t>
      </w:r>
      <w:r>
        <w:rPr>
          <w:szCs w:val="24"/>
          <w:lang w:val="pt-BR" w:eastAsia="lt-LT"/>
        </w:rPr>
        <w:t>Lietuvos Respublikos biudžeto sandaros įstatymo 26 straipsnio 4 dalimi, Lietuvos Respublikos 2021 metų valstybės biudžeto ir savivaldybių biudžetų finansinių rodiklių patvirt</w:t>
      </w:r>
      <w:r>
        <w:rPr>
          <w:szCs w:val="24"/>
          <w:lang w:val="pt-BR" w:eastAsia="lt-LT"/>
        </w:rPr>
        <w:t>inimo įstatymu, Kaišiadorių rajono savivaldybės taryba n u s p r e n d ž i a: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</w:t>
      </w:r>
      <w:r>
        <w:rPr>
          <w:szCs w:val="24"/>
          <w:lang w:val="pt-BR" w:eastAsia="lt-LT"/>
        </w:rPr>
        <w:t>. Patvirtinti Kaišiadorių rajono savivaldybės 2021 metų biudžetą (pridedama):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</w:t>
      </w:r>
      <w:r>
        <w:rPr>
          <w:szCs w:val="24"/>
          <w:lang w:val="pt-BR" w:eastAsia="lt-LT"/>
        </w:rPr>
        <w:t xml:space="preserve">. 2021 metų biudžeto pajamas – 33107,3 tūkst. Eur; 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1.2</w:t>
      </w:r>
      <w:r>
        <w:rPr>
          <w:szCs w:val="24"/>
          <w:lang w:val="pt-BR" w:eastAsia="lt-LT"/>
        </w:rPr>
        <w:t xml:space="preserve">. 2021 metų biudžete numatytas </w:t>
      </w:r>
      <w:r>
        <w:rPr>
          <w:szCs w:val="24"/>
          <w:lang w:val="pt-BR" w:eastAsia="lt-LT"/>
        </w:rPr>
        <w:t xml:space="preserve">biudžetinių įstaigų pajamų įmokas  – 831,9 tūkst. Eur; 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1.3</w:t>
      </w:r>
      <w:r>
        <w:rPr>
          <w:szCs w:val="24"/>
          <w:lang w:val="pt-BR" w:eastAsia="lt-LT"/>
        </w:rPr>
        <w:t>. 2021 metų biudžeto asignavimus – 37453,0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1.4</w:t>
      </w:r>
      <w:r>
        <w:rPr>
          <w:szCs w:val="24"/>
          <w:lang w:val="pt-BR" w:eastAsia="lt-LT"/>
        </w:rPr>
        <w:t>. 2021 metų biudžete numatytus asignavimus iš valstybės biudžeto specialios tikslinės dotacijos ugdymo reikmėms finansuoti – 8510,8</w:t>
      </w:r>
      <w:r>
        <w:rPr>
          <w:szCs w:val="24"/>
          <w:lang w:val="pt-BR" w:eastAsia="lt-LT"/>
        </w:rPr>
        <w:t xml:space="preserve">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1.5</w:t>
      </w:r>
      <w:r>
        <w:rPr>
          <w:szCs w:val="24"/>
          <w:lang w:val="pt-BR" w:eastAsia="lt-LT"/>
        </w:rPr>
        <w:t>. 2021 metų biudžete numatytus asignavimus iš valstybės biudžeto lėšų, skirtų  COVID-19 pandemijos padariniams šalinti (skaitmeninio ugdymo plėtrai) – 101,8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1.6</w:t>
      </w:r>
      <w:r>
        <w:rPr>
          <w:szCs w:val="24"/>
          <w:lang w:val="pt-BR" w:eastAsia="lt-LT"/>
        </w:rPr>
        <w:t>. 2021 metų biudžete numatytus asignavimus iš savivaldybės b</w:t>
      </w:r>
      <w:r>
        <w:rPr>
          <w:szCs w:val="24"/>
          <w:lang w:val="pt-BR" w:eastAsia="lt-LT"/>
        </w:rPr>
        <w:t>iudžeto prognozuojamų pajamų – 21212,5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1.7</w:t>
      </w:r>
      <w:r>
        <w:rPr>
          <w:szCs w:val="24"/>
          <w:lang w:val="pt-BR" w:eastAsia="lt-LT"/>
        </w:rPr>
        <w:t xml:space="preserve">. 2021 metų biudžete numatytus asignavimus iš valstybės biudžeto specialių tikslinių, Europos Sąjungos finansinės paramos ir  kitų dotacijų – 4915,8 tūkst. Eur; 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1.8</w:t>
      </w:r>
      <w:r>
        <w:rPr>
          <w:szCs w:val="24"/>
          <w:lang w:val="pt-BR" w:eastAsia="lt-LT"/>
        </w:rPr>
        <w:t>. 2021 metų biudžete numatytu</w:t>
      </w:r>
      <w:r>
        <w:rPr>
          <w:szCs w:val="24"/>
          <w:lang w:val="pt-BR" w:eastAsia="lt-LT"/>
        </w:rPr>
        <w:t>s asignavimus iš biudžetinių įstaigų pajamų įmokų – 831,9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1.9</w:t>
      </w:r>
      <w:r>
        <w:rPr>
          <w:szCs w:val="24"/>
          <w:lang w:val="pt-BR" w:eastAsia="lt-LT"/>
        </w:rPr>
        <w:t>. 2021 metų biudžete numatytus asignavimus iš pajamų dalies specialiosioms ir tikslinėms programoms finansuoti – 121,0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1.10</w:t>
      </w:r>
      <w:r>
        <w:rPr>
          <w:szCs w:val="24"/>
          <w:lang w:val="pt-BR" w:eastAsia="lt-LT"/>
        </w:rPr>
        <w:t>. 2021 metų biudžete numatytus asignavim</w:t>
      </w:r>
      <w:r>
        <w:rPr>
          <w:szCs w:val="24"/>
          <w:lang w:val="pt-BR" w:eastAsia="lt-LT"/>
        </w:rPr>
        <w:t>us iš nepanaudotų tikslinės paskirties lėšų – 399,4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1.11</w:t>
      </w:r>
      <w:r>
        <w:rPr>
          <w:szCs w:val="24"/>
          <w:lang w:val="pt-BR" w:eastAsia="lt-LT"/>
        </w:rPr>
        <w:t>. 2021 metų biudžete numatytus asignavimus iš nepanaudotų biudžetinių įstaigų pajamų įmokų – 154,9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1.12</w:t>
      </w:r>
      <w:r>
        <w:rPr>
          <w:szCs w:val="24"/>
          <w:lang w:val="pt-BR" w:eastAsia="lt-LT"/>
        </w:rPr>
        <w:t>. 2021 metų biudžete numatytus asignavimus iš nepanaudotų Europos</w:t>
      </w:r>
      <w:r>
        <w:rPr>
          <w:szCs w:val="24"/>
          <w:lang w:val="pt-BR" w:eastAsia="lt-LT"/>
        </w:rPr>
        <w:t xml:space="preserve"> Sąjungos finansinės paramos lėšų – 132,0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1.13</w:t>
      </w:r>
      <w:r>
        <w:rPr>
          <w:szCs w:val="24"/>
          <w:lang w:val="pt-BR" w:eastAsia="lt-LT"/>
        </w:rPr>
        <w:t xml:space="preserve">. 2021 metų biudžete numatytus asignavimus iš nepanaudotų Europos Sąjungos struktūrinių fondų įgyvendinamų investicinių projektų savivaldybės nuosavam indėliui užtikrinti – 35,9 tūkst. Eur; 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</w:t>
      </w:r>
      <w:r>
        <w:rPr>
          <w:szCs w:val="24"/>
          <w:lang w:val="pt-BR" w:eastAsia="lt-LT"/>
        </w:rPr>
        <w:t>.14</w:t>
      </w:r>
      <w:r>
        <w:rPr>
          <w:szCs w:val="24"/>
          <w:lang w:val="pt-BR" w:eastAsia="lt-LT"/>
        </w:rPr>
        <w:t>. 2021 metų biudžete numatytus asignavimus iš nepanaudotų savivaldybės biudžeto lėšų kreditoriniam įsiskolinimui padengti – 109,0 tūkst. Eur;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1.15</w:t>
      </w:r>
      <w:r>
        <w:rPr>
          <w:szCs w:val="24"/>
          <w:lang w:val="pt-BR" w:eastAsia="lt-LT"/>
        </w:rPr>
        <w:t xml:space="preserve">. 2021 metų biudžete numatytus asignavimus iš skolintų lėšų investiciniams projektams – 928,0 tūkst. </w:t>
      </w:r>
      <w:r>
        <w:rPr>
          <w:szCs w:val="24"/>
          <w:lang w:val="pt-BR" w:eastAsia="lt-LT"/>
        </w:rPr>
        <w:t>Eur.</w:t>
      </w:r>
    </w:p>
    <w:p w:rsidR="00E12642" w:rsidRDefault="00394001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Pavesti savivaldybės biudžeto asignavimų valdytojams ir biudžetinių įstaigų vadovams:</w:t>
      </w:r>
    </w:p>
    <w:p w:rsidR="00E12642" w:rsidRDefault="00394001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sudarant 2021 metų išlaidų sąmatas, numatyti reikiamus asignavimus esamoms 2021 m. sausio 1 d. skoloms už suteiktas paslaugas padengti;</w:t>
      </w:r>
    </w:p>
    <w:p w:rsidR="00E12642" w:rsidRDefault="00394001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užti</w:t>
      </w:r>
      <w:r>
        <w:rPr>
          <w:szCs w:val="24"/>
          <w:lang w:eastAsia="lt-LT"/>
        </w:rPr>
        <w:t>krinti, kad 2022 m. sausio 1 d. esantis įsiskolinimas (mokėtinos sumos, išskyrus sumas paskoloms grąžinti) būtų ne didesnis už 2021 m. sausio 1 d. įsiskolinimą (mokėtinas sumas, išskyrus sumas paskoloms grąžinti).</w:t>
      </w:r>
    </w:p>
    <w:p w:rsidR="00E12642" w:rsidRDefault="00394001">
      <w:pPr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Nustatyti, kad asignavimų </w:t>
      </w:r>
      <w:r>
        <w:rPr>
          <w:szCs w:val="24"/>
          <w:lang w:eastAsia="lt-LT"/>
        </w:rPr>
        <w:t>valdytojai Lietuvos Respublikos įstatymų nustatyta tvarka atsako už vadovaujamų ir pavaldžių institucijų programų vykdymą, programų sąmatų sudarymą ir vykdymą, neviršijant patvirtintų asignavimų sumų, už paskirtų asignavimų efektyvų, atitinkantį programoje</w:t>
      </w:r>
      <w:r>
        <w:rPr>
          <w:szCs w:val="24"/>
          <w:lang w:eastAsia="lt-LT"/>
        </w:rPr>
        <w:t xml:space="preserve"> nustatytus tikslus, ir rezultatyvų naudojimą.</w:t>
      </w:r>
    </w:p>
    <w:p w:rsidR="00E12642" w:rsidRDefault="00394001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Nustatyti, kad biudžetinės įstaigos savo vardu negali prisiimti jokių skolinių įsipareigojimų pagal įsipareigojamuosius skolos dokumentus, įskaitant paskolos, finansinės nuomos (lizingo) sutartis, bet j</w:t>
      </w:r>
      <w:r>
        <w:rPr>
          <w:szCs w:val="24"/>
          <w:lang w:eastAsia="lt-LT"/>
        </w:rPr>
        <w:t>omis neapsiribojant.</w:t>
      </w:r>
    </w:p>
    <w:p w:rsidR="00E12642" w:rsidRDefault="00394001" w:rsidP="00394001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Paskelbti šį sprendimą Teisės aktų registre ir Kaišiadorių rajono savivaldybės interneto svetainėje. </w:t>
      </w:r>
    </w:p>
    <w:p w:rsidR="00E12642" w:rsidRDefault="00394001" w:rsidP="00394001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sprendimas </w:t>
      </w:r>
      <w:r>
        <w:rPr>
          <w:iCs/>
          <w:szCs w:val="24"/>
          <w:lang w:eastAsia="lt-LT"/>
        </w:rPr>
        <w:t xml:space="preserve">per vieną mėnesį nuo įsigaliojimo dienos gali būti skundžiamas Lietuvos administracinių ginčų komisijos Kauno </w:t>
      </w:r>
      <w:r>
        <w:rPr>
          <w:iCs/>
          <w:szCs w:val="24"/>
          <w:lang w:eastAsia="lt-LT"/>
        </w:rPr>
        <w:t>apygardos skyriui (Laisvės al. 36, Kaunas) Lietuvos Respublikos ikiteisminio administracinių ginčų nagrinėjimo tvarkos įstatymo nustatyta tvarka arba Regionų apygardos administracinio teismo Kauno rūmams (A. Mickevičiaus g. 8A, Kaunas) Lietuvos Respublikos</w:t>
      </w:r>
      <w:r>
        <w:rPr>
          <w:iCs/>
          <w:szCs w:val="24"/>
          <w:lang w:eastAsia="lt-LT"/>
        </w:rPr>
        <w:t xml:space="preserve"> administracinių bylų teisenos įstatymo nustatyta tvarka.</w:t>
      </w:r>
    </w:p>
    <w:p w:rsidR="00394001" w:rsidRDefault="00394001">
      <w:pPr>
        <w:spacing w:line="360" w:lineRule="auto"/>
      </w:pPr>
    </w:p>
    <w:p w:rsidR="00394001" w:rsidRDefault="00394001">
      <w:pPr>
        <w:spacing w:line="360" w:lineRule="auto"/>
      </w:pPr>
    </w:p>
    <w:p w:rsidR="00394001" w:rsidRDefault="00394001">
      <w:pPr>
        <w:spacing w:line="360" w:lineRule="auto"/>
      </w:pPr>
    </w:p>
    <w:p w:rsidR="00E12642" w:rsidRDefault="00394001"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                                            Vytenis </w:t>
      </w:r>
      <w:proofErr w:type="spellStart"/>
      <w:r>
        <w:rPr>
          <w:szCs w:val="24"/>
          <w:lang w:eastAsia="lt-LT"/>
        </w:rPr>
        <w:t>Tomkus</w:t>
      </w:r>
      <w:proofErr w:type="spellEnd"/>
    </w:p>
    <w:sectPr w:rsidR="00E12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42" w:rsidRDefault="00394001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E12642" w:rsidRDefault="00394001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39400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42" w:rsidRDefault="00394001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E12642" w:rsidRDefault="00394001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39400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39400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42" w:rsidRDefault="00E12642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A"/>
    <w:rsid w:val="00394001"/>
    <w:rsid w:val="00A33A4A"/>
    <w:rsid w:val="00E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4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4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9"/>
    <w:rsid w:val="00C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64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64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3690</Characters>
  <Application>Microsoft Office Word</Application>
  <DocSecurity>0</DocSecurity>
  <Lines>30</Lines>
  <Paragraphs>8</Paragraphs>
  <ScaleCrop>false</ScaleCrop>
  <Manager>2015-02-23</Manager>
  <Company>HP</Company>
  <LinksUpToDate>false</LinksUpToDate>
  <CharactersWithSpaces>4186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2021-02-25T13:13:00Z</dcterms:created>
  <dc:creator>KAIŠIADORIŲ RAJONO SAVIVALDYBĖS TARYBA</dc:creator>
  <lastModifiedBy>PAPINIGIENĖ Augustė</lastModifiedBy>
  <lastPrinted>2020-02-18T07:54:00Z</lastPrinted>
  <dcterms:modified xsi:type="dcterms:W3CDTF">2021-02-25T14:36:00Z</dcterms:modified>
  <revision>3</revision>
  <dc:subject>V17-21</dc:subject>
  <dc:title>DĖL KAIŠIADORIŲ RAJONO SAVIVALDYBĖS STRATEGINIO 2015-2017 METŲ VEIKLOS PLANO PATVIRTINIMO</dc:title>
</coreProperties>
</file>