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C7EE1" w14:textId="77777777" w:rsidR="00DC4BFE" w:rsidRDefault="00DC4BFE">
      <w:pPr>
        <w:tabs>
          <w:tab w:val="center" w:pos="4819"/>
          <w:tab w:val="right" w:pos="9638"/>
        </w:tabs>
        <w:rPr>
          <w:szCs w:val="24"/>
          <w:lang w:val="en-US"/>
        </w:rPr>
      </w:pPr>
    </w:p>
    <w:p w14:paraId="173C7EE2" w14:textId="77777777" w:rsidR="00DC4BFE" w:rsidRDefault="00016C16">
      <w:pPr>
        <w:jc w:val="center"/>
        <w:rPr>
          <w:sz w:val="20"/>
        </w:rPr>
      </w:pPr>
      <w:r>
        <w:rPr>
          <w:noProof/>
          <w:sz w:val="20"/>
          <w:lang w:eastAsia="lt-LT"/>
        </w:rPr>
        <w:drawing>
          <wp:inline distT="0" distB="0" distL="0" distR="0" wp14:anchorId="173C7F0B" wp14:editId="173C7F0C">
            <wp:extent cx="552450" cy="561975"/>
            <wp:effectExtent l="1905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561975"/>
                    </a:xfrm>
                    <a:prstGeom prst="rect">
                      <a:avLst/>
                    </a:prstGeom>
                    <a:noFill/>
                    <a:ln w="9525">
                      <a:noFill/>
                      <a:miter lim="800000"/>
                      <a:headEnd/>
                      <a:tailEnd/>
                    </a:ln>
                  </pic:spPr>
                </pic:pic>
              </a:graphicData>
            </a:graphic>
          </wp:inline>
        </w:drawing>
      </w:r>
    </w:p>
    <w:p w14:paraId="173C7EE3" w14:textId="77777777" w:rsidR="00DC4BFE" w:rsidRDefault="00DC4BFE">
      <w:pPr>
        <w:jc w:val="center"/>
        <w:rPr>
          <w:b/>
          <w:bCs/>
        </w:rPr>
      </w:pPr>
    </w:p>
    <w:p w14:paraId="173C7EE4" w14:textId="77777777" w:rsidR="00DC4BFE" w:rsidRDefault="00016C16">
      <w:pPr>
        <w:jc w:val="center"/>
        <w:rPr>
          <w:b/>
          <w:bCs/>
        </w:rPr>
      </w:pPr>
      <w:r>
        <w:rPr>
          <w:b/>
          <w:bCs/>
        </w:rPr>
        <w:t>LIETUVOS RESPUBLIKOS TEISINGUMO MINISTRAS</w:t>
      </w:r>
    </w:p>
    <w:p w14:paraId="173C7EE5" w14:textId="77777777" w:rsidR="00DC4BFE" w:rsidRDefault="00DC4BFE">
      <w:pPr>
        <w:jc w:val="center"/>
        <w:rPr>
          <w:b/>
          <w:bCs/>
        </w:rPr>
      </w:pPr>
    </w:p>
    <w:p w14:paraId="173C7EE6" w14:textId="77777777" w:rsidR="00DC4BFE" w:rsidRDefault="00016C16">
      <w:pPr>
        <w:ind w:left="180"/>
        <w:jc w:val="center"/>
        <w:rPr>
          <w:b/>
          <w:bCs/>
          <w:caps/>
          <w:szCs w:val="22"/>
        </w:rPr>
      </w:pPr>
      <w:r>
        <w:rPr>
          <w:b/>
          <w:bCs/>
          <w:caps/>
          <w:szCs w:val="22"/>
        </w:rPr>
        <w:t>Įsakymas</w:t>
      </w:r>
    </w:p>
    <w:p w14:paraId="173C7EE7" w14:textId="77777777" w:rsidR="00DC4BFE" w:rsidRDefault="00016C16">
      <w:pPr>
        <w:tabs>
          <w:tab w:val="left" w:pos="1800"/>
        </w:tabs>
        <w:ind w:left="180"/>
        <w:jc w:val="center"/>
        <w:rPr>
          <w:b/>
          <w:bCs/>
          <w:caps/>
          <w:szCs w:val="22"/>
        </w:rPr>
      </w:pPr>
      <w:r>
        <w:rPr>
          <w:b/>
          <w:bCs/>
          <w:caps/>
          <w:szCs w:val="22"/>
        </w:rPr>
        <w:t xml:space="preserve">DĖL TEISINGUMO MINISTRO 2016 M. SAUSIO 20 D. ĮSAKYMO NR. 1r-25 „DĖL </w:t>
      </w:r>
      <w:r>
        <w:rPr>
          <w:b/>
          <w:bCs/>
          <w:caps/>
          <w:szCs w:val="22"/>
          <w:lang w:val="en-US"/>
        </w:rPr>
        <w:t>VARTOJIMO GINČŲ KOMISIJŲ NUOSTATŲ PATVIRTINIMO</w:t>
      </w:r>
      <w:r>
        <w:rPr>
          <w:b/>
          <w:bCs/>
          <w:caps/>
          <w:szCs w:val="22"/>
        </w:rPr>
        <w:t>“</w:t>
      </w:r>
      <w:r>
        <w:rPr>
          <w:b/>
          <w:bCs/>
          <w:caps/>
          <w:szCs w:val="22"/>
          <w:lang w:val="en-US"/>
        </w:rPr>
        <w:t xml:space="preserve"> PAKEITIMO</w:t>
      </w:r>
    </w:p>
    <w:p w14:paraId="173C7EE8" w14:textId="77777777" w:rsidR="00DC4BFE" w:rsidRDefault="00DC4BFE">
      <w:pPr>
        <w:ind w:firstLine="312"/>
        <w:jc w:val="both"/>
        <w:rPr>
          <w:szCs w:val="8"/>
        </w:rPr>
      </w:pPr>
    </w:p>
    <w:p w14:paraId="173C7EE9" w14:textId="2574D672" w:rsidR="00DC4BFE" w:rsidRDefault="00016C16">
      <w:pPr>
        <w:jc w:val="center"/>
      </w:pPr>
      <w:r>
        <w:t>2019 m. birželio 13 d. Nr. 1R-192</w:t>
      </w:r>
    </w:p>
    <w:p w14:paraId="173C7EEA" w14:textId="77777777" w:rsidR="00DC4BFE" w:rsidRDefault="00016C16">
      <w:pPr>
        <w:jc w:val="center"/>
      </w:pPr>
      <w:r>
        <w:t>Vilnius</w:t>
      </w:r>
    </w:p>
    <w:p w14:paraId="173C7EEB" w14:textId="77777777" w:rsidR="00DC4BFE" w:rsidRDefault="00DC4BFE">
      <w:pPr>
        <w:jc w:val="both"/>
      </w:pPr>
    </w:p>
    <w:p w14:paraId="0E539295" w14:textId="77777777" w:rsidR="00016C16" w:rsidRDefault="00016C16">
      <w:pPr>
        <w:jc w:val="both"/>
      </w:pPr>
    </w:p>
    <w:p w14:paraId="173C7EEC" w14:textId="77777777" w:rsidR="00DC4BFE" w:rsidRDefault="00016C16">
      <w:pPr>
        <w:tabs>
          <w:tab w:val="left" w:pos="851"/>
          <w:tab w:val="left" w:pos="1134"/>
        </w:tabs>
        <w:ind w:firstLine="851"/>
        <w:jc w:val="both"/>
      </w:pPr>
      <w:r>
        <w:t>1</w:t>
      </w:r>
      <w:r>
        <w:t>.</w:t>
      </w:r>
      <w:r>
        <w:tab/>
        <w:t xml:space="preserve">P a k e i č i u Lietuvos </w:t>
      </w:r>
      <w:r>
        <w:t>Respublikos teisingumo ministro 2016 m. sausio 20 d. įsakymą Nr. 1R-25 „Dėl Vartojimo ginčų komisijų nuostatų patvirtinimo“:</w:t>
      </w:r>
    </w:p>
    <w:p w14:paraId="173C7EED" w14:textId="77777777" w:rsidR="00DC4BFE" w:rsidRDefault="00016C16">
      <w:pPr>
        <w:tabs>
          <w:tab w:val="left" w:pos="851"/>
        </w:tabs>
        <w:ind w:left="1212" w:hanging="360"/>
        <w:jc w:val="both"/>
      </w:pPr>
      <w:r>
        <w:t>1.1</w:t>
      </w:r>
      <w:r>
        <w:t>.</w:t>
      </w:r>
      <w:r>
        <w:tab/>
        <w:t xml:space="preserve"> Pakeičiu preambulę ir ją išdėstau taip:</w:t>
      </w:r>
    </w:p>
    <w:p w14:paraId="173C7EEE" w14:textId="77777777" w:rsidR="00DC4BFE" w:rsidRDefault="00016C16">
      <w:pPr>
        <w:tabs>
          <w:tab w:val="left" w:pos="851"/>
        </w:tabs>
        <w:ind w:firstLine="851"/>
        <w:jc w:val="both"/>
      </w:pPr>
      <w:r>
        <w:t>„Vadovaudamasis Lietuvos Respublikos vartotojų teisių apsaugos įstatymo 22</w:t>
      </w:r>
      <w:r>
        <w:rPr>
          <w:vertAlign w:val="superscript"/>
        </w:rPr>
        <w:t>1</w:t>
      </w:r>
      <w:r>
        <w:t> straips</w:t>
      </w:r>
      <w:r>
        <w:t>nio 1 ir 4 dalimis, Lietuvos Respublikos valstybės ir savivaldybių įstaigų darbuotojų ir komisijų narių darbo apmokėjimo įstatymo 14</w:t>
      </w:r>
      <w:r>
        <w:rPr>
          <w:vertAlign w:val="superscript"/>
        </w:rPr>
        <w:t xml:space="preserve">1 </w:t>
      </w:r>
      <w:r>
        <w:t>straipsnio 4 dalimi, įgyvendindamas Lietuvos Respublikos Vyriausybės 2015 m. gruodžio 16 d. nutarimą Nr. 1300 „Dėl įgalioj</w:t>
      </w:r>
      <w:r>
        <w:t>imų suteikimo įgyvendinant Lietuvos Respublikos vartotojų teisių apsaugos įstatymą“ ir Lietuvos Respublikos Vyriausybės 2017 m. balandžio 5 d. nutarimą Nr. 253 „Dėl</w:t>
      </w:r>
      <w:r>
        <w:rPr>
          <w:bCs/>
          <w:szCs w:val="24"/>
        </w:rPr>
        <w:t xml:space="preserve"> </w:t>
      </w:r>
      <w:r>
        <w:rPr>
          <w:bCs/>
        </w:rPr>
        <w:t>Lietuvos Respublikos valstybės ir savivaldybių įstaigų darbuotojų ir komisijų narių darbo a</w:t>
      </w:r>
      <w:r>
        <w:rPr>
          <w:bCs/>
        </w:rPr>
        <w:t>pmokėjimo įstatymo įgyvendinimo</w:t>
      </w:r>
      <w:r>
        <w:t>“:“.</w:t>
      </w:r>
    </w:p>
    <w:p w14:paraId="173C7EEF" w14:textId="77777777" w:rsidR="00DC4BFE" w:rsidRDefault="00016C16">
      <w:pPr>
        <w:tabs>
          <w:tab w:val="left" w:pos="851"/>
        </w:tabs>
        <w:ind w:left="1212" w:hanging="360"/>
        <w:jc w:val="both"/>
      </w:pPr>
      <w:r>
        <w:t>1.2</w:t>
      </w:r>
      <w:r>
        <w:t>.</w:t>
      </w:r>
      <w:r>
        <w:tab/>
        <w:t xml:space="preserve"> Pakeičiu nurodytu įsakymu patvirtintus Vartojimo ginčų komisijų nuostatus:</w:t>
      </w:r>
    </w:p>
    <w:p w14:paraId="173C7EF0" w14:textId="77777777" w:rsidR="00DC4BFE" w:rsidRDefault="00016C16">
      <w:pPr>
        <w:tabs>
          <w:tab w:val="left" w:pos="851"/>
        </w:tabs>
        <w:ind w:left="1418" w:hanging="566"/>
        <w:jc w:val="both"/>
      </w:pPr>
      <w:r>
        <w:t>1.2.1</w:t>
      </w:r>
      <w:r>
        <w:t>.</w:t>
      </w:r>
      <w:r>
        <w:tab/>
        <w:t>Pakeičiu 1 punktą ir jį išdėstau taip:</w:t>
      </w:r>
    </w:p>
    <w:p w14:paraId="173C7EF1" w14:textId="77777777" w:rsidR="00DC4BFE" w:rsidRDefault="00016C16">
      <w:pPr>
        <w:tabs>
          <w:tab w:val="left" w:pos="1418"/>
        </w:tabs>
        <w:ind w:firstLine="852"/>
        <w:jc w:val="both"/>
      </w:pPr>
      <w:r>
        <w:t>„</w:t>
      </w:r>
      <w:r>
        <w:t>1</w:t>
      </w:r>
      <w:r>
        <w:t xml:space="preserve">. Vartojimo ginčų komisijų nuostatai (toliau – nuostatai) nustato vartojimo </w:t>
      </w:r>
      <w:r>
        <w:t>ginčų komisijų (toliau – komisijos) sudarymo ir darbo tvarką, komisijų nagrinėjamus vartojimo ginčus, taip pat atlyginimo komisijų nariams už pasirengimą bei darbą komisijos posėdžiuose ir jų kelionės išlaidų apmokėjimo tvarką.“</w:t>
      </w:r>
    </w:p>
    <w:p w14:paraId="173C7EF2" w14:textId="77777777" w:rsidR="00DC4BFE" w:rsidRDefault="00016C16">
      <w:pPr>
        <w:tabs>
          <w:tab w:val="left" w:pos="851"/>
        </w:tabs>
        <w:ind w:left="1572" w:hanging="720"/>
        <w:jc w:val="both"/>
      </w:pPr>
      <w:r>
        <w:t>1.2.2</w:t>
      </w:r>
      <w:r>
        <w:t>.</w:t>
      </w:r>
      <w:r>
        <w:tab/>
        <w:t>Pakeičiu V s</w:t>
      </w:r>
      <w:r>
        <w:t>kyrių ir jį išdėstau taip:</w:t>
      </w:r>
    </w:p>
    <w:p w14:paraId="173C7EF3" w14:textId="77777777" w:rsidR="00DC4BFE" w:rsidRDefault="00016C16">
      <w:pPr>
        <w:tabs>
          <w:tab w:val="left" w:pos="1418"/>
        </w:tabs>
        <w:jc w:val="center"/>
        <w:rPr>
          <w:b/>
        </w:rPr>
      </w:pPr>
      <w:r>
        <w:t>„</w:t>
      </w:r>
      <w:r>
        <w:rPr>
          <w:b/>
        </w:rPr>
        <w:t>V</w:t>
      </w:r>
      <w:r>
        <w:rPr>
          <w:b/>
        </w:rPr>
        <w:t xml:space="preserve"> SKYRIUS</w:t>
      </w:r>
    </w:p>
    <w:p w14:paraId="173C7EF4" w14:textId="77777777" w:rsidR="00DC4BFE" w:rsidRDefault="00016C16">
      <w:pPr>
        <w:tabs>
          <w:tab w:val="left" w:pos="1418"/>
        </w:tabs>
        <w:jc w:val="center"/>
        <w:rPr>
          <w:b/>
        </w:rPr>
      </w:pPr>
      <w:r>
        <w:rPr>
          <w:b/>
        </w:rPr>
        <w:t xml:space="preserve">ATLYGINIMAS KOMISIJŲ NARIAMS UŽ PASIRENGIMĄ IR DARBĄ KOMISIJŲ POSĖDŽIUOSE BEI JŲ KELIONĖS IŠLAIDŲ APMOKĖJIMAS </w:t>
      </w:r>
    </w:p>
    <w:p w14:paraId="173C7EF5" w14:textId="77777777" w:rsidR="00DC4BFE" w:rsidRDefault="00DC4BFE">
      <w:pPr>
        <w:tabs>
          <w:tab w:val="left" w:pos="1418"/>
        </w:tabs>
        <w:jc w:val="center"/>
        <w:rPr>
          <w:b/>
        </w:rPr>
      </w:pPr>
    </w:p>
    <w:p w14:paraId="173C7EF6" w14:textId="77777777" w:rsidR="00DC4BFE" w:rsidRDefault="00016C16">
      <w:pPr>
        <w:tabs>
          <w:tab w:val="left" w:pos="851"/>
        </w:tabs>
        <w:ind w:firstLine="851"/>
        <w:jc w:val="both"/>
        <w:rPr>
          <w:szCs w:val="24"/>
        </w:rPr>
      </w:pPr>
      <w:r>
        <w:rPr>
          <w:szCs w:val="24"/>
        </w:rPr>
        <w:t>26</w:t>
      </w:r>
      <w:r>
        <w:rPr>
          <w:szCs w:val="24"/>
        </w:rPr>
        <w:t xml:space="preserve">. Šiame skyriuje nustatytas apmokėjimas taikomas tik komisijų nariams, nurodytiems šių nuostatų 5.2 ir 5.3 papunkčiuose. </w:t>
      </w:r>
    </w:p>
    <w:p w14:paraId="173C7EF7" w14:textId="77777777" w:rsidR="00DC4BFE" w:rsidRDefault="00016C16">
      <w:pPr>
        <w:tabs>
          <w:tab w:val="left" w:pos="851"/>
        </w:tabs>
        <w:ind w:firstLine="851"/>
        <w:jc w:val="both"/>
        <w:rPr>
          <w:strike/>
          <w:szCs w:val="24"/>
        </w:rPr>
      </w:pPr>
      <w:r>
        <w:rPr>
          <w:szCs w:val="24"/>
        </w:rPr>
        <w:t>27</w:t>
      </w:r>
      <w:r>
        <w:rPr>
          <w:szCs w:val="24"/>
        </w:rPr>
        <w:t>. Komisijų nariams:</w:t>
      </w:r>
    </w:p>
    <w:p w14:paraId="173C7EF8" w14:textId="77777777" w:rsidR="00DC4BFE" w:rsidRDefault="00016C16">
      <w:pPr>
        <w:tabs>
          <w:tab w:val="left" w:pos="851"/>
        </w:tabs>
        <w:ind w:firstLine="851"/>
        <w:jc w:val="both"/>
        <w:rPr>
          <w:szCs w:val="24"/>
        </w:rPr>
      </w:pPr>
      <w:r>
        <w:rPr>
          <w:szCs w:val="24"/>
        </w:rPr>
        <w:t>27.1</w:t>
      </w:r>
      <w:r>
        <w:rPr>
          <w:szCs w:val="24"/>
        </w:rPr>
        <w:t>. mokamas atlygis už darbą komisijos posėdyje. Atlygio dydis už vieną dirbtą valandą komisijos posėdyj</w:t>
      </w:r>
      <w:r>
        <w:rPr>
          <w:szCs w:val="24"/>
        </w:rPr>
        <w:t>e – 0,04 Lietuvos Respublikos Seimo patvirtinto atitinkamų metų pareiginės algos bazinio dydžio, kuris taikomas apskaičiuojant valstybės politikų, teisėjų, valstybės pareigūnų, valstybės tarnautojų ir valstybės bei savivaldybių biudžetinių įstaigų darbuoto</w:t>
      </w:r>
      <w:r>
        <w:rPr>
          <w:szCs w:val="24"/>
        </w:rPr>
        <w:t>jų pareigines algas;</w:t>
      </w:r>
    </w:p>
    <w:p w14:paraId="173C7EF9" w14:textId="77777777" w:rsidR="00DC4BFE" w:rsidRDefault="00016C16">
      <w:pPr>
        <w:tabs>
          <w:tab w:val="left" w:pos="851"/>
        </w:tabs>
        <w:ind w:firstLine="851"/>
        <w:jc w:val="both"/>
        <w:rPr>
          <w:szCs w:val="24"/>
        </w:rPr>
      </w:pPr>
      <w:r>
        <w:rPr>
          <w:szCs w:val="24"/>
        </w:rPr>
        <w:t>27.2</w:t>
      </w:r>
      <w:r>
        <w:rPr>
          <w:szCs w:val="24"/>
        </w:rPr>
        <w:t>. mokamas atlygis už pasirengimą komisijos posėdyje nagrinėti vieną prašymą. Atlygio dydis už pasirengimą komisijos posėdyje nagrinėti vieną prašymą – 0,07 Lietuvos Respublikos Seimo patvirtinto atitinkamų metų pareiginės algos</w:t>
      </w:r>
      <w:r>
        <w:rPr>
          <w:szCs w:val="24"/>
        </w:rPr>
        <w:t xml:space="preserve"> bazinio dydžio, kuris taikomas apskaičiuojant valstybės politikų, teisėjų, valstybės pareigūnų, valstybės tarnautojų ir valstybės bei savivaldybių biudžetinių įstaigų darbuotojų pareigines algas;</w:t>
      </w:r>
    </w:p>
    <w:p w14:paraId="173C7EFA" w14:textId="77777777" w:rsidR="00DC4BFE" w:rsidRDefault="00016C16">
      <w:pPr>
        <w:tabs>
          <w:tab w:val="left" w:pos="851"/>
          <w:tab w:val="left" w:pos="993"/>
          <w:tab w:val="left" w:pos="1276"/>
        </w:tabs>
        <w:ind w:firstLine="851"/>
        <w:jc w:val="both"/>
        <w:rPr>
          <w:szCs w:val="24"/>
        </w:rPr>
      </w:pPr>
      <w:r>
        <w:rPr>
          <w:szCs w:val="24"/>
        </w:rPr>
        <w:t>27.3</w:t>
      </w:r>
      <w:r>
        <w:rPr>
          <w:szCs w:val="24"/>
        </w:rPr>
        <w:t xml:space="preserve">. apmokamos kelionės į komisijos posėdį ir grįžimo </w:t>
      </w:r>
      <w:r>
        <w:rPr>
          <w:szCs w:val="24"/>
        </w:rPr>
        <w:t>iš jo į nuolatinę darbo ar gyvenamąją vietą visų rūšių visuomeninio transporto priemonėmis, išskyrus lengvuosius taksi automobilius, išlaidos. Kelionės išlaidos apmokamos pateikus jas pagrindžiančius dokumentus.</w:t>
      </w:r>
    </w:p>
    <w:p w14:paraId="173C7EFB" w14:textId="77777777" w:rsidR="00DC4BFE" w:rsidRDefault="00016C16">
      <w:pPr>
        <w:ind w:firstLine="852"/>
        <w:jc w:val="both"/>
      </w:pPr>
      <w:r>
        <w:t>28</w:t>
      </w:r>
      <w:r>
        <w:t>. Komisijos nariui sumokama už komis</w:t>
      </w:r>
      <w:r>
        <w:t xml:space="preserve">ijos posėdžio protokole užfiksuotą faktiškai dirbtą laiką komisijos posėdyje </w:t>
      </w:r>
      <w:r>
        <w:rPr>
          <w:bCs/>
        </w:rPr>
        <w:t>ir už pasirengimą nagrinėti prašymą</w:t>
      </w:r>
      <w:r>
        <w:t xml:space="preserve">, </w:t>
      </w:r>
      <w:r>
        <w:rPr>
          <w:bCs/>
        </w:rPr>
        <w:t>kuris buvo išnagrinėtas komisijos posėdyje</w:t>
      </w:r>
      <w:r>
        <w:t xml:space="preserve">. </w:t>
      </w:r>
    </w:p>
    <w:p w14:paraId="173C7EFC" w14:textId="77777777" w:rsidR="00DC4BFE" w:rsidRDefault="00016C16">
      <w:pPr>
        <w:ind w:firstLine="852"/>
        <w:jc w:val="both"/>
      </w:pPr>
    </w:p>
    <w:p w14:paraId="173C7EFD" w14:textId="77777777" w:rsidR="00DC4BFE" w:rsidRDefault="00016C16">
      <w:pPr>
        <w:ind w:firstLine="852"/>
        <w:jc w:val="both"/>
        <w:rPr>
          <w:szCs w:val="24"/>
        </w:rPr>
      </w:pPr>
      <w:r>
        <w:rPr>
          <w:szCs w:val="24"/>
        </w:rPr>
        <w:t>29</w:t>
      </w:r>
      <w:r>
        <w:rPr>
          <w:szCs w:val="24"/>
        </w:rPr>
        <w:t>. Informaciją apie komisijos narių faktiškai dirbtą laiką ir komisijos narių pateiktus kel</w:t>
      </w:r>
      <w:r>
        <w:rPr>
          <w:szCs w:val="24"/>
        </w:rPr>
        <w:t>ionės išlaidas pagrindžiančius dokumentus ne vėliau kaip per 3 darbo dienas nuo komisijos posėdžio dienos komisijos sekretorius pateikia Valstybinei vartotojų teisių apsaugos tarnybai pagal Valstybinei vartotojų teisių apsaugos tarnybos direktoriaus patvir</w:t>
      </w:r>
      <w:r>
        <w:rPr>
          <w:szCs w:val="24"/>
        </w:rPr>
        <w:t>tintą formą.</w:t>
      </w:r>
    </w:p>
    <w:p w14:paraId="173C7EFE" w14:textId="77777777" w:rsidR="00DC4BFE" w:rsidRDefault="00016C16">
      <w:pPr>
        <w:ind w:firstLine="852"/>
        <w:jc w:val="both"/>
        <w:rPr>
          <w:szCs w:val="24"/>
        </w:rPr>
      </w:pPr>
      <w:r>
        <w:rPr>
          <w:szCs w:val="24"/>
        </w:rPr>
        <w:t>30</w:t>
      </w:r>
      <w:r>
        <w:rPr>
          <w:szCs w:val="24"/>
        </w:rPr>
        <w:t>. Atlygis už pasirengimą ir darbą komisijos posėdyje sumokamas bei komisijos narių kelionės išlaidos apmokamos ne vėliau kaip per 15 darbo dienų nuo šių nuostatų 29 punkte nurodytos informacijos pateikimo Valstybinei vartotojų teisių aps</w:t>
      </w:r>
      <w:r>
        <w:rPr>
          <w:szCs w:val="24"/>
        </w:rPr>
        <w:t>augos tarnybai dienos, atitinkamas pinigų sumas pervedant į komisijos nario nurodytą asmeninę sąskaitą kredito įstaigoje.</w:t>
      </w:r>
    </w:p>
    <w:p w14:paraId="173C7EFF" w14:textId="77777777" w:rsidR="00DC4BFE" w:rsidRDefault="00016C16">
      <w:pPr>
        <w:ind w:firstLine="852"/>
        <w:jc w:val="both"/>
        <w:rPr>
          <w:szCs w:val="24"/>
        </w:rPr>
      </w:pPr>
      <w:r>
        <w:rPr>
          <w:szCs w:val="24"/>
        </w:rPr>
        <w:t>31</w:t>
      </w:r>
      <w:r>
        <w:rPr>
          <w:szCs w:val="24"/>
        </w:rPr>
        <w:t>. Atlygis už pasirengimą ir darbą komisijos posėdyje sumokamas bei komisijos narių kelionės išlaidos apmokamos iš Lietuvos Respu</w:t>
      </w:r>
      <w:r>
        <w:rPr>
          <w:szCs w:val="24"/>
        </w:rPr>
        <w:t>blikos valstybės biudžeto asignavimų, skirtų Valstybinei vartotojų teisių apsaugos tarnybai.“</w:t>
      </w:r>
    </w:p>
    <w:p w14:paraId="173C7F02" w14:textId="264E6867" w:rsidR="00DC4BFE" w:rsidRDefault="00016C16" w:rsidP="00016C16">
      <w:pPr>
        <w:ind w:firstLine="852"/>
        <w:jc w:val="both"/>
        <w:rPr>
          <w:szCs w:val="24"/>
        </w:rPr>
      </w:pPr>
      <w:r>
        <w:t>2</w:t>
      </w:r>
      <w:r>
        <w:t xml:space="preserve">. N u s t a t a u, kad šis įsakymas įsigalioja 2019 m. liepos 1 d. </w:t>
      </w:r>
    </w:p>
    <w:p w14:paraId="55B9D2AC" w14:textId="77777777" w:rsidR="00016C16" w:rsidRDefault="00016C16" w:rsidP="00016C16">
      <w:pPr>
        <w:tabs>
          <w:tab w:val="left" w:pos="7371"/>
        </w:tabs>
        <w:overflowPunct w:val="0"/>
      </w:pPr>
    </w:p>
    <w:p w14:paraId="61D6D80E" w14:textId="77777777" w:rsidR="00016C16" w:rsidRDefault="00016C16" w:rsidP="00016C16">
      <w:pPr>
        <w:tabs>
          <w:tab w:val="left" w:pos="7371"/>
        </w:tabs>
        <w:overflowPunct w:val="0"/>
      </w:pPr>
    </w:p>
    <w:p w14:paraId="0A2B7319" w14:textId="77777777" w:rsidR="00016C16" w:rsidRDefault="00016C16" w:rsidP="00016C16">
      <w:pPr>
        <w:tabs>
          <w:tab w:val="left" w:pos="7371"/>
        </w:tabs>
        <w:overflowPunct w:val="0"/>
      </w:pPr>
    </w:p>
    <w:p w14:paraId="173C7F0A" w14:textId="54D3F124" w:rsidR="00DC4BFE" w:rsidRDefault="00016C16" w:rsidP="00016C16">
      <w:pPr>
        <w:tabs>
          <w:tab w:val="left" w:pos="7371"/>
        </w:tabs>
        <w:overflowPunct w:val="0"/>
      </w:pPr>
      <w:bookmarkStart w:id="0" w:name="_GoBack"/>
      <w:bookmarkEnd w:id="0"/>
      <w:r>
        <w:rPr>
          <w:szCs w:val="24"/>
        </w:rPr>
        <w:t xml:space="preserve">Teisingumo ministras </w:t>
      </w:r>
      <w:r>
        <w:rPr>
          <w:szCs w:val="24"/>
        </w:rPr>
        <w:tab/>
      </w:r>
      <w:r>
        <w:rPr>
          <w:szCs w:val="24"/>
        </w:rPr>
        <w:t xml:space="preserve">  Elvinas Jankevičius </w:t>
      </w:r>
    </w:p>
    <w:sectPr w:rsidR="00DC4BFE">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C7F0F" w14:textId="77777777" w:rsidR="00DC4BFE" w:rsidRDefault="00016C16">
      <w:pPr>
        <w:rPr>
          <w:szCs w:val="24"/>
          <w:lang w:val="en-US"/>
        </w:rPr>
      </w:pPr>
      <w:r>
        <w:rPr>
          <w:szCs w:val="24"/>
          <w:lang w:val="en-US"/>
        </w:rPr>
        <w:separator/>
      </w:r>
    </w:p>
  </w:endnote>
  <w:endnote w:type="continuationSeparator" w:id="0">
    <w:p w14:paraId="173C7F10" w14:textId="77777777" w:rsidR="00DC4BFE" w:rsidRDefault="00016C16">
      <w:pPr>
        <w:rPr>
          <w:szCs w:val="24"/>
          <w:lang w:val="en-US"/>
        </w:rPr>
      </w:pPr>
      <w:r>
        <w:rPr>
          <w:szCs w:val="24"/>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C7F14" w14:textId="77777777" w:rsidR="00DC4BFE" w:rsidRDefault="00DC4BFE">
    <w:pPr>
      <w:tabs>
        <w:tab w:val="center" w:pos="4819"/>
        <w:tab w:val="right" w:pos="9638"/>
      </w:tabs>
      <w:rPr>
        <w:szCs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C7F15" w14:textId="77777777" w:rsidR="00DC4BFE" w:rsidRDefault="00DC4BFE">
    <w:pPr>
      <w:tabs>
        <w:tab w:val="center" w:pos="4819"/>
        <w:tab w:val="right" w:pos="9638"/>
      </w:tabs>
      <w:rPr>
        <w:szCs w:val="24"/>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C7F17" w14:textId="77777777" w:rsidR="00DC4BFE" w:rsidRDefault="00DC4BFE">
    <w:pPr>
      <w:tabs>
        <w:tab w:val="center" w:pos="4819"/>
        <w:tab w:val="right" w:pos="9638"/>
      </w:tabs>
      <w:rPr>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C7F0D" w14:textId="77777777" w:rsidR="00DC4BFE" w:rsidRDefault="00016C16">
      <w:pPr>
        <w:rPr>
          <w:szCs w:val="24"/>
          <w:lang w:val="en-US"/>
        </w:rPr>
      </w:pPr>
      <w:r>
        <w:rPr>
          <w:szCs w:val="24"/>
          <w:lang w:val="en-US"/>
        </w:rPr>
        <w:separator/>
      </w:r>
    </w:p>
  </w:footnote>
  <w:footnote w:type="continuationSeparator" w:id="0">
    <w:p w14:paraId="173C7F0E" w14:textId="77777777" w:rsidR="00DC4BFE" w:rsidRDefault="00016C16">
      <w:pPr>
        <w:rPr>
          <w:szCs w:val="24"/>
          <w:lang w:val="en-US"/>
        </w:rPr>
      </w:pPr>
      <w:r>
        <w:rPr>
          <w:szCs w:val="24"/>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C7F11" w14:textId="77777777" w:rsidR="00DC4BFE" w:rsidRDefault="00DC4BFE">
    <w:pPr>
      <w:tabs>
        <w:tab w:val="center" w:pos="4819"/>
        <w:tab w:val="right" w:pos="9638"/>
      </w:tabs>
      <w:rPr>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C7F12" w14:textId="77777777" w:rsidR="00DC4BFE" w:rsidRDefault="00016C16">
    <w:pPr>
      <w:tabs>
        <w:tab w:val="center" w:pos="4819"/>
        <w:tab w:val="right" w:pos="9638"/>
      </w:tabs>
      <w:jc w:val="center"/>
      <w:rPr>
        <w:szCs w:val="24"/>
        <w:lang w:val="en-US"/>
      </w:rPr>
    </w:pPr>
    <w:r>
      <w:rPr>
        <w:szCs w:val="24"/>
        <w:lang w:val="en-US"/>
      </w:rPr>
      <w:fldChar w:fldCharType="begin"/>
    </w:r>
    <w:r>
      <w:rPr>
        <w:szCs w:val="24"/>
        <w:lang w:val="en-US"/>
      </w:rPr>
      <w:instrText>PAGE   \* MERGEFORMAT</w:instrText>
    </w:r>
    <w:r>
      <w:rPr>
        <w:szCs w:val="24"/>
        <w:lang w:val="en-US"/>
      </w:rPr>
      <w:fldChar w:fldCharType="separate"/>
    </w:r>
    <w:r w:rsidRPr="00016C16">
      <w:rPr>
        <w:noProof/>
        <w:szCs w:val="24"/>
      </w:rPr>
      <w:t>2</w:t>
    </w:r>
    <w:r>
      <w:rPr>
        <w:szCs w:val="24"/>
        <w:lang w:val="en-US"/>
      </w:rPr>
      <w:fldChar w:fldCharType="end"/>
    </w:r>
  </w:p>
  <w:p w14:paraId="173C7F13" w14:textId="77777777" w:rsidR="00DC4BFE" w:rsidRDefault="00DC4BFE">
    <w:pPr>
      <w:tabs>
        <w:tab w:val="center" w:pos="4819"/>
        <w:tab w:val="right" w:pos="9638"/>
      </w:tabs>
      <w:rPr>
        <w:szCs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C7F16" w14:textId="77777777" w:rsidR="00DC4BFE" w:rsidRDefault="00DC4BFE">
    <w:pPr>
      <w:tabs>
        <w:tab w:val="center" w:pos="4819"/>
        <w:tab w:val="right" w:pos="9638"/>
      </w:tabs>
      <w:rPr>
        <w:szCs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0D"/>
    <w:rsid w:val="00016C16"/>
    <w:rsid w:val="00675A0D"/>
    <w:rsid w:val="00DC4B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2692</Words>
  <Characters>1535</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4219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2019-06-13T07:26:00Z</dcterms:created>
  <dc:creator>Ronalda Turauskienė</dc:creator>
  <lastModifiedBy>GUMBYTĖ Danguolė</lastModifiedBy>
  <dcterms:modified xsi:type="dcterms:W3CDTF">2019-06-13T07:53:00Z</dcterms:modified>
  <revision>3</revision>
</coreProperties>
</file>