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5F25C284" w14:textId="11E9A87E" w:rsidR="00187B2C" w:rsidRDefault="00187B2C" w:rsidP="009900EE">
      <w:pPr>
        <w:tabs>
          <w:tab w:val="center" w:pos="4153"/>
          <w:tab w:val="right" w:pos="8306"/>
        </w:tabs>
        <w:spacing w:line="259" w:lineRule="auto"/>
        <w:rPr>
          <w:lang w:eastAsia="lt-LT"/>
        </w:rPr>
      </w:pPr>
    </w:p>
    <w:p w14:paraId="5F25C285" w14:textId="77777777" w:rsidR="00187B2C" w:rsidRDefault="009900E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F25C336" wp14:editId="5F25C337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C286" w14:textId="77777777" w:rsidR="00187B2C" w:rsidRDefault="00187B2C">
      <w:pPr>
        <w:rPr>
          <w:sz w:val="10"/>
          <w:szCs w:val="10"/>
        </w:rPr>
      </w:pPr>
    </w:p>
    <w:p w14:paraId="5F25C287" w14:textId="77777777" w:rsidR="00187B2C" w:rsidRDefault="009900E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F25C288" w14:textId="77777777" w:rsidR="00187B2C" w:rsidRDefault="00187B2C">
      <w:pPr>
        <w:jc w:val="center"/>
        <w:rPr>
          <w:caps/>
          <w:lang w:eastAsia="lt-LT"/>
        </w:rPr>
      </w:pPr>
    </w:p>
    <w:p w14:paraId="5F25C289" w14:textId="77777777" w:rsidR="00187B2C" w:rsidRDefault="009900E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F25C28A" w14:textId="77777777" w:rsidR="00187B2C" w:rsidRDefault="009900EE">
      <w:pPr>
        <w:widowControl w:val="0"/>
        <w:jc w:val="center"/>
        <w:rPr>
          <w:b/>
          <w:caps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</w:t>
      </w:r>
      <w:r>
        <w:rPr>
          <w:b/>
          <w:szCs w:val="24"/>
          <w:lang w:eastAsia="lt-LT"/>
        </w:rPr>
        <w:t>EUROPOS PARLAMENTO IR TARYBOS REGLAMENTO (ES) NR. 2017/625 ĮGYVENDINIMO</w:t>
      </w:r>
      <w:r>
        <w:rPr>
          <w:b/>
          <w:caps/>
          <w:lang w:eastAsia="lt-LT"/>
        </w:rPr>
        <w:t xml:space="preserve"> </w:t>
      </w:r>
    </w:p>
    <w:p w14:paraId="5F25C28B" w14:textId="77777777" w:rsidR="00187B2C" w:rsidRDefault="00187B2C">
      <w:pPr>
        <w:tabs>
          <w:tab w:val="center" w:pos="4153"/>
          <w:tab w:val="right" w:pos="8306"/>
        </w:tabs>
        <w:rPr>
          <w:lang w:eastAsia="lt-LT"/>
        </w:rPr>
      </w:pPr>
    </w:p>
    <w:p w14:paraId="5F25C28C" w14:textId="77777777" w:rsidR="00187B2C" w:rsidRDefault="009900EE">
      <w:pPr>
        <w:ind w:firstLine="186"/>
        <w:jc w:val="center"/>
        <w:rPr>
          <w:lang w:eastAsia="lt-LT"/>
        </w:rPr>
      </w:pPr>
      <w:r>
        <w:rPr>
          <w:lang w:eastAsia="lt-LT"/>
        </w:rPr>
        <w:t>2019 m. gruodžio 11 d. Nr. 1237</w:t>
      </w:r>
    </w:p>
    <w:p w14:paraId="5F25C28D" w14:textId="77777777" w:rsidR="00187B2C" w:rsidRDefault="009900E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F25C28E" w14:textId="77777777" w:rsidR="00187B2C" w:rsidRDefault="00187B2C">
      <w:pPr>
        <w:jc w:val="center"/>
        <w:rPr>
          <w:lang w:eastAsia="lt-LT"/>
        </w:rPr>
      </w:pPr>
    </w:p>
    <w:p w14:paraId="5F25C28F" w14:textId="77777777" w:rsidR="00187B2C" w:rsidRDefault="00187B2C">
      <w:pPr>
        <w:jc w:val="center"/>
        <w:rPr>
          <w:lang w:eastAsia="lt-LT"/>
        </w:rPr>
      </w:pPr>
    </w:p>
    <w:p w14:paraId="5F25C290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Įgyvendindama 2017 m. kovo 15 d. Europos Parlamento ir Tarybos reglamentą (ES) Nr. 2017/625 dėl oficialios kontrolės ir kitos oficialios veiklos, kuri vykdoma siekiant užtikrinti maisto ir pašarų srities teisės aktų bei gyvūnų sveikatos ir gerovės, augalų </w:t>
      </w:r>
      <w:r>
        <w:rPr>
          <w:szCs w:val="24"/>
          <w:lang w:eastAsia="lt-LT"/>
        </w:rPr>
        <w:t xml:space="preserve">sveikatos ir augalų apsaugos produktų taisyklių taikymą, kuriuo iš dalies keičiami Europos Parlamento ir Tarybos reglamentai (EB) Nr. 999/2001, (EB) Nr. 396/2005, (EB) Nr. 1069/2009, (EB) Nr. 1107/2009, (ES) Nr. 1151/2012, (ES) Nr. 652/2014, (ES) 2016/429 </w:t>
      </w:r>
      <w:r>
        <w:rPr>
          <w:szCs w:val="24"/>
          <w:lang w:eastAsia="lt-LT"/>
        </w:rPr>
        <w:t xml:space="preserve">ir (ES) 2016/2031, Tarybos reglamentai (EB) Nr. 1/2005 ir (EB) Nr. 1099/2009 bei Tarybos direktyvos 98/58/EB, 1999/74/EB, 2007/43/EB, 2008/119/EB ir 2008/120/EB, ir kuriuo panaikinami Europos Parlamento ir Tarybos reglamentai (EB) Nr. 854/2004 ir (EB) Nr. </w:t>
      </w:r>
      <w:r>
        <w:rPr>
          <w:szCs w:val="24"/>
          <w:lang w:eastAsia="lt-LT"/>
        </w:rPr>
        <w:t>882/2004, Tarybos direktyvos 89/608/EEB, 89/662/EEB, 90/425/EEB, 91/496/EEB, 96/23/EB, 96/93/EB ir 97/78/EB bei tarybos sprendimas 92/438/EEB (Oficialios kontrolės reglamentas) (OL 2017 L 95, p. 1) (toliau – Reglamentas) su paskutiniais pakeitimais, padary</w:t>
      </w:r>
      <w:r>
        <w:rPr>
          <w:szCs w:val="24"/>
          <w:lang w:eastAsia="lt-LT"/>
        </w:rPr>
        <w:t xml:space="preserve">tais 2019 m. kovo 12 d. Komisijos deleguotuoju reglamentu (ES) 2019/1012 ((OL 2019 </w:t>
      </w:r>
      <w:r>
        <w:rPr>
          <w:iCs/>
          <w:szCs w:val="24"/>
          <w:lang w:eastAsia="lt-LT"/>
        </w:rPr>
        <w:t>L 165, p. 4)</w:t>
      </w:r>
      <w:r>
        <w:rPr>
          <w:szCs w:val="24"/>
          <w:lang w:eastAsia="lt-LT"/>
        </w:rPr>
        <w:t>, 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5F25C291" w14:textId="77777777" w:rsidR="00187B2C" w:rsidRDefault="009900EE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Paskirti kompetentingas institucijas, atsakingas už Reglamento nuostatų, įskaitant nuostatas, </w:t>
      </w:r>
      <w:r>
        <w:rPr>
          <w:szCs w:val="24"/>
          <w:lang w:eastAsia="lt-LT"/>
        </w:rPr>
        <w:t>reglamentuojančias oficialią kontrolę ir kitą oficialią veiklą, įgyvendinimą:</w:t>
      </w:r>
    </w:p>
    <w:p w14:paraId="5F25C292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Valstybinę maisto ir veterinarijos tarnybą – Reglamento 1 straipsnio 2 dalies a, b, c, d, e, f, j punktuose nustatytose srityse ir i punkte nustatytoje ekologiškų produktų</w:t>
      </w:r>
      <w:r>
        <w:rPr>
          <w:szCs w:val="24"/>
          <w:lang w:eastAsia="lt-LT"/>
        </w:rPr>
        <w:t xml:space="preserve"> ženklinimo srityje;</w:t>
      </w:r>
    </w:p>
    <w:p w14:paraId="5F25C293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Valstybinę augalininkystės tarnybą prie Žemės ūkio ministerijos – Reglamento 1 straipsnio 2 dalies g, h punktuose nustatytose srityse;</w:t>
      </w:r>
    </w:p>
    <w:p w14:paraId="5F25C294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 xml:space="preserve">. Lietuvos Respublikos žemės ūkio ministeriją – Reglamento 1 straipsnio 2 dalies i </w:t>
      </w:r>
      <w:r>
        <w:rPr>
          <w:szCs w:val="24"/>
          <w:lang w:eastAsia="lt-LT"/>
        </w:rPr>
        <w:t>punkte nustatytoje ekologinės gamybos srityje.</w:t>
      </w:r>
    </w:p>
    <w:p w14:paraId="5F25C295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Paskirti Žemės ūkio ministeriją koordinuojančiąja institucija, atsakinga už bendradarbiavimo ir ryšių su Europos Komisija ir kitomis valstybėmis narėmis, susijusių su </w:t>
      </w:r>
      <w:r>
        <w:rPr>
          <w:szCs w:val="24"/>
          <w:lang w:eastAsia="lt-LT"/>
        </w:rPr>
        <w:lastRenderedPageBreak/>
        <w:t>oficialia kontrole ir kita oficia</w:t>
      </w:r>
      <w:r>
        <w:rPr>
          <w:szCs w:val="24"/>
          <w:lang w:eastAsia="lt-LT"/>
        </w:rPr>
        <w:t>lia veikla, koordinavimą Reglamento 1 straipsnio 2 dalies i punkte nurodytose srityse.</w:t>
      </w:r>
    </w:p>
    <w:p w14:paraId="5F25C296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Pavesti Valstybinei maisto ir veterinarijos tarnybai:</w:t>
      </w:r>
    </w:p>
    <w:p w14:paraId="5F25C297" w14:textId="77777777" w:rsidR="00187B2C" w:rsidRDefault="009900EE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3.1</w:t>
      </w:r>
      <w:r>
        <w:rPr>
          <w:rFonts w:eastAsia="Calibri"/>
          <w:szCs w:val="24"/>
          <w:lang w:eastAsia="lt-LT"/>
        </w:rPr>
        <w:t>. parengti ir patvirtinti nenumatytų atvejų planus maisto ir pašarų srityje, nurodytus Reglamento 115 s</w:t>
      </w:r>
      <w:r>
        <w:rPr>
          <w:rFonts w:eastAsia="Calibri"/>
          <w:szCs w:val="24"/>
          <w:lang w:eastAsia="lt-LT"/>
        </w:rPr>
        <w:t>traipsnyje, kuriuose būtų nustatytos priemonės, nedelsiant taikytinos nustačius, kad maistas ar pašarai tiesiogiai ar per aplinką kelia didelę riziką žmonių ar gyvūnų sveikatai;</w:t>
      </w:r>
    </w:p>
    <w:p w14:paraId="5F25C298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 vykdyti už daugiametį nacionalinį kontrolės planą atsakingos instituc</w:t>
      </w:r>
      <w:r>
        <w:rPr>
          <w:szCs w:val="24"/>
          <w:lang w:eastAsia="lt-LT"/>
        </w:rPr>
        <w:t>ijos funkcijas pagal Reglamento 109 straipsnio 2 dalį ir teikti Reglamento 113 straipsnyje nurodytą metinę ataskaitą Europos Komisijai.</w:t>
      </w:r>
    </w:p>
    <w:p w14:paraId="5F25C299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Nustatyti, kad:</w:t>
      </w:r>
    </w:p>
    <w:p w14:paraId="5F25C29A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>. Žemės ūkio ministerija, suderinusi su Pasienio kontrolės punktų direkcija prie Susisieki</w:t>
      </w:r>
      <w:r>
        <w:rPr>
          <w:szCs w:val="24"/>
          <w:lang w:eastAsia="lt-LT"/>
        </w:rPr>
        <w:t>mo ministerijos,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>skiria pasienio kontrolės postus augalų, augalinių produktų ir kitų Reglamento 47 straipsnio 1 dalyje nurodytų kategorijų Valstybinės augalininkystės tarnybos prie Žemės ūkio ministerijos kontroliuojamų prekių oficialiai kontrolei atlikti,</w:t>
      </w:r>
      <w:r>
        <w:rPr>
          <w:szCs w:val="24"/>
          <w:lang w:eastAsia="lt-LT"/>
        </w:rPr>
        <w:t xml:space="preserve"> sustabdo jų paskyrimą ar jį panaikina ir apie tai praneša Europos Komisijai bei kitoms valstybėms narėms;</w:t>
      </w:r>
    </w:p>
    <w:p w14:paraId="5F25C29B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>. Valstybinė maisto ir veterinarijos tarnyba, suderinusi su Pasienio kontrolės punktų direkcija prie Susisiekimo ministerijos,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>skiria pasienio</w:t>
      </w:r>
      <w:r>
        <w:rPr>
          <w:szCs w:val="24"/>
          <w:lang w:eastAsia="lt-LT"/>
        </w:rPr>
        <w:t xml:space="preserve"> kontrolės postus Reglamento 47 straipsnio 1 dalyje nurodytų kategorijų gyvūnų ir prekių, išskyrus nurodytas šio nutarimo 4.1 papunktyje, oficialiai kontrolei atlikti, sustabdo jų paskyrimą ar jį panaikina ir apie tai praneša Europos Komisijai bei kitoms v</w:t>
      </w:r>
      <w:r>
        <w:rPr>
          <w:szCs w:val="24"/>
          <w:lang w:eastAsia="lt-LT"/>
        </w:rPr>
        <w:t xml:space="preserve">alstybėms narėms. </w:t>
      </w:r>
    </w:p>
    <w:p w14:paraId="5F25C29C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Paskirti nacionalines etalonines laboratorijas Lietuvos Respublikoje vykdyti Reglamento 101 straipsnyje nustatytas funkcijas ir užduotis:</w:t>
      </w:r>
    </w:p>
    <w:p w14:paraId="5F25C29D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 xml:space="preserve">. Nacionalinį maisto ir veterinarijos rizikos </w:t>
      </w:r>
      <w:r>
        <w:rPr>
          <w:bCs/>
          <w:szCs w:val="24"/>
          <w:lang w:eastAsia="lt-LT"/>
        </w:rPr>
        <w:t>vertinimo</w:t>
      </w:r>
      <w:r>
        <w:rPr>
          <w:szCs w:val="24"/>
          <w:lang w:eastAsia="lt-LT"/>
        </w:rPr>
        <w:t xml:space="preserve"> institutą – tyrimų srityse, n</w:t>
      </w:r>
      <w:r>
        <w:rPr>
          <w:szCs w:val="24"/>
          <w:lang w:eastAsia="lt-LT"/>
        </w:rPr>
        <w:t xml:space="preserve">urodytose šio nutarimo priede; </w:t>
      </w:r>
    </w:p>
    <w:p w14:paraId="5F25C29E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>. Nacionalinę visuomenės sveikatos priežiūros laboratoriją – su maistu besiliečiančių gaminių ir medžiagų tyrimų srityje;</w:t>
      </w:r>
    </w:p>
    <w:p w14:paraId="5F25C29F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</w:t>
      </w:r>
      <w:r>
        <w:rPr>
          <w:szCs w:val="24"/>
          <w:lang w:eastAsia="lt-LT"/>
        </w:rPr>
        <w:t>. Valstybinės augalininkystės tarnybos prie Žemės ūkio ministerijos Fitosanitarinių tyri</w:t>
      </w:r>
      <w:r>
        <w:rPr>
          <w:szCs w:val="24"/>
          <w:lang w:eastAsia="lt-LT"/>
        </w:rPr>
        <w:t xml:space="preserve">mų laboratoriją (skyrių) – augalų, augalinių produktų ir su jais susijusių objektų kenkėjų: bakterijų, erkių, </w:t>
      </w:r>
      <w:proofErr w:type="spellStart"/>
      <w:r>
        <w:rPr>
          <w:szCs w:val="24"/>
          <w:lang w:eastAsia="lt-LT"/>
        </w:rPr>
        <w:t>fitoplazmų</w:t>
      </w:r>
      <w:proofErr w:type="spellEnd"/>
      <w:r>
        <w:rPr>
          <w:szCs w:val="24"/>
          <w:lang w:eastAsia="lt-LT"/>
        </w:rPr>
        <w:t xml:space="preserve">, grybų ir </w:t>
      </w:r>
      <w:proofErr w:type="spellStart"/>
      <w:r>
        <w:rPr>
          <w:szCs w:val="24"/>
          <w:lang w:eastAsia="lt-LT"/>
        </w:rPr>
        <w:t>oomicetų</w:t>
      </w:r>
      <w:proofErr w:type="spellEnd"/>
      <w:r>
        <w:rPr>
          <w:szCs w:val="24"/>
          <w:lang w:eastAsia="lt-LT"/>
        </w:rPr>
        <w:t xml:space="preserve">, moliuskų, </w:t>
      </w:r>
      <w:proofErr w:type="spellStart"/>
      <w:r>
        <w:rPr>
          <w:szCs w:val="24"/>
          <w:lang w:eastAsia="lt-LT"/>
        </w:rPr>
        <w:t>nematodų</w:t>
      </w:r>
      <w:proofErr w:type="spellEnd"/>
      <w:r>
        <w:rPr>
          <w:szCs w:val="24"/>
          <w:lang w:eastAsia="lt-LT"/>
        </w:rPr>
        <w:t>,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vabzdžių, virusų, </w:t>
      </w:r>
      <w:proofErr w:type="spellStart"/>
      <w:r>
        <w:rPr>
          <w:szCs w:val="24"/>
          <w:lang w:eastAsia="lt-LT"/>
        </w:rPr>
        <w:t>viroidų</w:t>
      </w:r>
      <w:proofErr w:type="spellEnd"/>
      <w:r>
        <w:rPr>
          <w:szCs w:val="24"/>
          <w:lang w:eastAsia="lt-LT"/>
        </w:rPr>
        <w:t xml:space="preserve">, taip pat piktžolių sėklų tyrimų srityse. </w:t>
      </w:r>
    </w:p>
    <w:p w14:paraId="5F25C2A0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Paskirti Reglamen</w:t>
      </w:r>
      <w:r>
        <w:rPr>
          <w:szCs w:val="24"/>
          <w:lang w:eastAsia="lt-LT"/>
        </w:rPr>
        <w:t>to 103 straipsnyje nurodytas ryšių palaikymo įstaigas ir pavesti joms teikti savo kontaktinę informaciją ir jos vėlesnius pakeitimus Europos Komisijai ir kitoms valstybėms narėms:</w:t>
      </w:r>
    </w:p>
    <w:p w14:paraId="5F25C2A1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>. Žemės ūkio ministeriją – Reglamento 1 straipsnio 2 dalies i punkte nu</w:t>
      </w:r>
      <w:r>
        <w:rPr>
          <w:szCs w:val="24"/>
          <w:lang w:eastAsia="lt-LT"/>
        </w:rPr>
        <w:t xml:space="preserve">statytoje ekologinės gamybos srityje; </w:t>
      </w:r>
    </w:p>
    <w:p w14:paraId="5F25C2A2" w14:textId="77777777" w:rsidR="00187B2C" w:rsidRDefault="009900EE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>. Valstybinę maisto ir veterinarijos tarnybą – Reglamento 1 straipsnio 2 dalies a, b, c, d, e, f, j punktuose nustatytose srityse ir i punkte nustatytoje ekologiškų produktų ženklinimo srityje;</w:t>
      </w:r>
    </w:p>
    <w:p w14:paraId="5F25C2A3" w14:textId="77777777" w:rsidR="00187B2C" w:rsidRDefault="009900E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6.3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Valstybinę augalininkystės tarnybą prie Žemės ūkio ministerijos – šio nutarimo 1.2 papunktyje nurodytose srityse.</w:t>
      </w:r>
    </w:p>
    <w:p w14:paraId="5F25C2A8" w14:textId="6AFD1E7D" w:rsidR="00187B2C" w:rsidRDefault="009900EE" w:rsidP="009900EE">
      <w:pPr>
        <w:spacing w:line="360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Nustatyti, kad šis nutarimas, išskyrus šio nutarimo 5 punktą, įsigalioja 2019 m. gruodžio 14 d.</w:t>
      </w:r>
    </w:p>
    <w:p w14:paraId="4D690CC0" w14:textId="77777777" w:rsidR="009900EE" w:rsidRDefault="009900EE">
      <w:pPr>
        <w:tabs>
          <w:tab w:val="center" w:pos="-7800"/>
          <w:tab w:val="left" w:pos="6237"/>
          <w:tab w:val="right" w:pos="8306"/>
        </w:tabs>
      </w:pPr>
    </w:p>
    <w:p w14:paraId="738B3AFC" w14:textId="77777777" w:rsidR="009900EE" w:rsidRDefault="009900EE">
      <w:pPr>
        <w:tabs>
          <w:tab w:val="center" w:pos="-7800"/>
          <w:tab w:val="left" w:pos="6237"/>
          <w:tab w:val="right" w:pos="8306"/>
        </w:tabs>
      </w:pPr>
    </w:p>
    <w:p w14:paraId="3F62D4DA" w14:textId="77777777" w:rsidR="009900EE" w:rsidRDefault="009900EE">
      <w:pPr>
        <w:tabs>
          <w:tab w:val="center" w:pos="-7800"/>
          <w:tab w:val="left" w:pos="6237"/>
          <w:tab w:val="right" w:pos="8306"/>
        </w:tabs>
      </w:pPr>
    </w:p>
    <w:p w14:paraId="5F25C2A9" w14:textId="521B11EB" w:rsidR="00187B2C" w:rsidRDefault="009900E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Energetikos ministras,</w:t>
      </w:r>
    </w:p>
    <w:p w14:paraId="5F25C2AA" w14:textId="294F1414" w:rsidR="00187B2C" w:rsidRDefault="009900E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pavaduojantis Ministrą Pirmininką</w:t>
      </w:r>
      <w:r>
        <w:rPr>
          <w:lang w:eastAsia="lt-LT"/>
        </w:rPr>
        <w:tab/>
      </w:r>
      <w:r>
        <w:rPr>
          <w:lang w:eastAsia="lt-LT"/>
        </w:rPr>
        <w:t>Žygimantas Vaičiūnas</w:t>
      </w:r>
    </w:p>
    <w:p w14:paraId="5F25C2AB" w14:textId="77777777" w:rsidR="00187B2C" w:rsidRDefault="00187B2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F25C2AC" w14:textId="77777777" w:rsidR="00187B2C" w:rsidRDefault="00187B2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F25C2AD" w14:textId="77777777" w:rsidR="00187B2C" w:rsidRDefault="00187B2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F25C2AE" w14:textId="00AC1234" w:rsidR="00187B2C" w:rsidRDefault="009900EE" w:rsidP="009900E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Žemės ūkio ministras</w:t>
      </w:r>
      <w:r>
        <w:rPr>
          <w:lang w:eastAsia="lt-LT"/>
        </w:rPr>
        <w:tab/>
      </w:r>
      <w:r>
        <w:rPr>
          <w:lang w:eastAsia="lt-LT"/>
        </w:rPr>
        <w:t>Andrius Palionis</w:t>
      </w:r>
    </w:p>
    <w:p w14:paraId="5F25C2AF" w14:textId="77777777" w:rsidR="00187B2C" w:rsidRDefault="009900E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A82515F" w14:textId="2502336E" w:rsidR="009900EE" w:rsidRDefault="009900EE">
      <w:pPr>
        <w:shd w:val="clear" w:color="auto" w:fill="FFFFFF"/>
        <w:ind w:left="5387"/>
        <w:sectPr w:rsidR="009900EE" w:rsidSect="009900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567" w:bottom="1134" w:left="1701" w:header="567" w:footer="567" w:gutter="0"/>
          <w:pgNumType w:start="1"/>
          <w:cols w:space="1296"/>
          <w:titlePg/>
          <w:docGrid w:linePitch="326"/>
        </w:sectPr>
      </w:pPr>
    </w:p>
    <w:p w14:paraId="5F25C2B0" w14:textId="64430777" w:rsidR="00187B2C" w:rsidRDefault="009900EE">
      <w:pPr>
        <w:shd w:val="clear" w:color="auto" w:fill="FFFFFF"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Lietuvos Respublikos Vyriausybės</w:t>
      </w:r>
    </w:p>
    <w:p w14:paraId="5F25C2B1" w14:textId="1A4A434A" w:rsidR="00187B2C" w:rsidRDefault="009900EE">
      <w:pPr>
        <w:shd w:val="clear" w:color="auto" w:fill="FFFFFF"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2019 m. gruodžio 11 </w:t>
      </w:r>
      <w:r>
        <w:rPr>
          <w:color w:val="000000"/>
          <w:szCs w:val="24"/>
          <w:lang w:eastAsia="lt-LT"/>
        </w:rPr>
        <w:t>d. nutarimo Nr. 1237</w:t>
      </w:r>
    </w:p>
    <w:p w14:paraId="5F25C2B2" w14:textId="77777777" w:rsidR="00187B2C" w:rsidRDefault="009900EE">
      <w:pPr>
        <w:shd w:val="clear" w:color="auto" w:fill="FFFFFF"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priedas</w:t>
      </w:r>
    </w:p>
    <w:p w14:paraId="5F25C2B3" w14:textId="77777777" w:rsidR="00187B2C" w:rsidRDefault="00187B2C">
      <w:pPr>
        <w:jc w:val="center"/>
        <w:rPr>
          <w:szCs w:val="24"/>
        </w:rPr>
      </w:pPr>
    </w:p>
    <w:p w14:paraId="5F25C2B4" w14:textId="77777777" w:rsidR="00187B2C" w:rsidRDefault="00187B2C">
      <w:pPr>
        <w:jc w:val="center"/>
        <w:rPr>
          <w:szCs w:val="24"/>
        </w:rPr>
      </w:pPr>
    </w:p>
    <w:p w14:paraId="5F25C2B5" w14:textId="77777777" w:rsidR="00187B2C" w:rsidRDefault="009900EE">
      <w:pPr>
        <w:jc w:val="center"/>
        <w:rPr>
          <w:b/>
          <w:szCs w:val="24"/>
        </w:rPr>
      </w:pPr>
      <w:r>
        <w:rPr>
          <w:b/>
          <w:szCs w:val="24"/>
        </w:rPr>
        <w:t>TYRI</w:t>
      </w:r>
      <w:r>
        <w:rPr>
          <w:b/>
          <w:szCs w:val="24"/>
        </w:rPr>
        <w:t>MŲ SRIČIŲ SĄRAŠAS</w:t>
      </w:r>
    </w:p>
    <w:p w14:paraId="5F25C2B6" w14:textId="77777777" w:rsidR="00187B2C" w:rsidRDefault="00187B2C">
      <w:pPr>
        <w:jc w:val="center"/>
        <w:rPr>
          <w:szCs w:val="24"/>
        </w:rPr>
      </w:pPr>
    </w:p>
    <w:tbl>
      <w:tblPr>
        <w:tblW w:w="8804" w:type="dxa"/>
        <w:tblInd w:w="15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080"/>
      </w:tblGrid>
      <w:tr w:rsidR="00187B2C" w14:paraId="5F25C2B9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B7" w14:textId="77777777" w:rsidR="00187B2C" w:rsidRDefault="009900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Eilės Nr.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B8" w14:textId="77777777" w:rsidR="00187B2C" w:rsidRDefault="009900EE">
            <w:pPr>
              <w:ind w:right="41"/>
              <w:rPr>
                <w:b/>
                <w:szCs w:val="24"/>
              </w:rPr>
            </w:pPr>
            <w:r>
              <w:rPr>
                <w:b/>
                <w:szCs w:val="24"/>
              </w:rPr>
              <w:t>Tyrimų sričių sąrašas</w:t>
            </w:r>
          </w:p>
        </w:tc>
      </w:tr>
      <w:tr w:rsidR="00187B2C" w14:paraId="5F25C2BD" w14:textId="77777777">
        <w:trPr>
          <w:trHeight w:val="587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BA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ab/>
            </w:r>
          </w:p>
          <w:p w14:paraId="5F25C2BB" w14:textId="77777777" w:rsidR="00187B2C" w:rsidRDefault="00187B2C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BC" w14:textId="77777777" w:rsidR="00187B2C" w:rsidRDefault="009900EE">
            <w:pPr>
              <w:jc w:val="both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Afrikinis</w:t>
            </w:r>
            <w:proofErr w:type="spellEnd"/>
            <w:r>
              <w:rPr>
                <w:bCs/>
                <w:szCs w:val="24"/>
              </w:rPr>
              <w:t xml:space="preserve"> arklių maras ir kitos arklių ligos </w:t>
            </w:r>
          </w:p>
        </w:tc>
      </w:tr>
      <w:tr w:rsidR="00187B2C" w14:paraId="5F25C2C0" w14:textId="77777777">
        <w:trPr>
          <w:trHeight w:val="589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BE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BF" w14:textId="77777777" w:rsidR="00187B2C" w:rsidRDefault="009900EE">
            <w:pPr>
              <w:jc w:val="both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Afrikinis</w:t>
            </w:r>
            <w:proofErr w:type="spellEnd"/>
            <w:r>
              <w:rPr>
                <w:bCs/>
                <w:szCs w:val="24"/>
              </w:rPr>
              <w:t xml:space="preserve">, klasikinis kiaulių maras ir kiaulių </w:t>
            </w:r>
            <w:proofErr w:type="spellStart"/>
            <w:r>
              <w:rPr>
                <w:bCs/>
                <w:szCs w:val="24"/>
              </w:rPr>
              <w:t>vezikulinė</w:t>
            </w:r>
            <w:proofErr w:type="spellEnd"/>
            <w:r>
              <w:rPr>
                <w:bCs/>
                <w:szCs w:val="24"/>
              </w:rPr>
              <w:t xml:space="preserve"> liga</w:t>
            </w:r>
          </w:p>
        </w:tc>
      </w:tr>
      <w:tr w:rsidR="00187B2C" w14:paraId="5F25C2C3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C1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C2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Antimikrobinis atsparumas</w:t>
            </w:r>
          </w:p>
        </w:tc>
      </w:tr>
      <w:tr w:rsidR="00187B2C" w14:paraId="5F25C2C6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C4" w14:textId="77777777" w:rsidR="00187B2C" w:rsidRDefault="009900EE">
            <w:pPr>
              <w:tabs>
                <w:tab w:val="left" w:pos="146"/>
              </w:tabs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C5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Bičių ligos</w:t>
            </w:r>
          </w:p>
        </w:tc>
      </w:tr>
      <w:tr w:rsidR="00187B2C" w14:paraId="5F25C2C9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C7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C8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Bruceliozė</w:t>
            </w:r>
          </w:p>
        </w:tc>
      </w:tr>
      <w:tr w:rsidR="00187B2C" w14:paraId="5F25C2CC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CA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CB" w14:textId="77777777" w:rsidR="00187B2C" w:rsidRDefault="009900EE">
            <w:pPr>
              <w:jc w:val="both"/>
              <w:rPr>
                <w:szCs w:val="24"/>
              </w:rPr>
            </w:pPr>
            <w:proofErr w:type="spellStart"/>
            <w:r>
              <w:rPr>
                <w:bCs/>
                <w:i/>
                <w:szCs w:val="24"/>
              </w:rPr>
              <w:t>Capripox</w:t>
            </w:r>
            <w:proofErr w:type="spellEnd"/>
            <w:r>
              <w:rPr>
                <w:bCs/>
                <w:szCs w:val="24"/>
              </w:rPr>
              <w:t xml:space="preserve"> genties virusų sukeliamos ligos</w:t>
            </w:r>
          </w:p>
        </w:tc>
      </w:tr>
      <w:tr w:rsidR="00187B2C" w14:paraId="5F25C2CF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CD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CE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Dvigeldžių moliuskų, vėžiagyvių ir žuvų ligos  </w:t>
            </w:r>
          </w:p>
        </w:tc>
      </w:tr>
      <w:tr w:rsidR="00187B2C" w14:paraId="5F25C2D2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D0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D1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Dvigeldžių moliuskų virusinio ir bakteriologinio užterštumo </w:t>
            </w:r>
            <w:proofErr w:type="spellStart"/>
            <w:r>
              <w:rPr>
                <w:bCs/>
                <w:szCs w:val="24"/>
              </w:rPr>
              <w:t>stebėsena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</w:tr>
      <w:tr w:rsidR="00187B2C" w14:paraId="5F25C2D5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D3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D4" w14:textId="77777777" w:rsidR="00187B2C" w:rsidRDefault="009900EE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Žarnyno lazdelės (lot. </w:t>
            </w:r>
            <w:proofErr w:type="spellStart"/>
            <w:r>
              <w:rPr>
                <w:bCs/>
                <w:i/>
                <w:szCs w:val="24"/>
              </w:rPr>
              <w:t>Escherichia</w:t>
            </w:r>
            <w:proofErr w:type="spellEnd"/>
            <w:r>
              <w:rPr>
                <w:bCs/>
                <w:i/>
                <w:szCs w:val="24"/>
              </w:rPr>
              <w:t xml:space="preserve"> coli</w:t>
            </w:r>
            <w:r>
              <w:rPr>
                <w:bCs/>
                <w:szCs w:val="24"/>
              </w:rPr>
              <w:t xml:space="preserve">), įskaitant </w:t>
            </w:r>
            <w:proofErr w:type="spellStart"/>
            <w:r>
              <w:rPr>
                <w:color w:val="000000"/>
                <w:szCs w:val="24"/>
              </w:rPr>
              <w:t>verotoksigeninę</w:t>
            </w:r>
            <w:proofErr w:type="spellEnd"/>
            <w:r>
              <w:rPr>
                <w:color w:val="000000"/>
                <w:szCs w:val="24"/>
              </w:rPr>
              <w:t xml:space="preserve"> žarnyno lazdelę</w:t>
            </w:r>
            <w:r>
              <w:rPr>
                <w:bCs/>
                <w:szCs w:val="24"/>
              </w:rPr>
              <w:t xml:space="preserve"> (VTEC)</w:t>
            </w:r>
          </w:p>
        </w:tc>
      </w:tr>
      <w:tr w:rsidR="00187B2C" w14:paraId="5F25C2D8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D6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D7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Galvijų tuberkuliozė </w:t>
            </w:r>
          </w:p>
        </w:tc>
      </w:tr>
      <w:tr w:rsidR="00187B2C" w14:paraId="5F25C2DB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D9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DA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Genetiškai modifikuoti organizmai </w:t>
            </w:r>
          </w:p>
        </w:tc>
      </w:tr>
      <w:tr w:rsidR="00187B2C" w14:paraId="5F25C2DE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DC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DD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Gyvūniniai baltymai pašaruose</w:t>
            </w:r>
          </w:p>
        </w:tc>
      </w:tr>
      <w:tr w:rsidR="00187B2C" w14:paraId="5F25C2E1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DF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13.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E0" w14:textId="77777777" w:rsidR="00187B2C" w:rsidRDefault="009900EE">
            <w:pPr>
              <w:jc w:val="both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Halogeniniai</w:t>
            </w:r>
            <w:proofErr w:type="spellEnd"/>
            <w:r>
              <w:rPr>
                <w:bCs/>
                <w:szCs w:val="24"/>
              </w:rPr>
              <w:t xml:space="preserve"> patvarieji teršalai pašaruose ir maisto produktuose</w:t>
            </w:r>
          </w:p>
        </w:tc>
      </w:tr>
      <w:tr w:rsidR="00187B2C" w14:paraId="5F25C2E4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E2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14.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E3" w14:textId="77777777" w:rsidR="00187B2C" w:rsidRDefault="009900E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Jūrinių biotoksinų </w:t>
            </w:r>
            <w:proofErr w:type="spellStart"/>
            <w:r>
              <w:rPr>
                <w:bCs/>
                <w:szCs w:val="24"/>
              </w:rPr>
              <w:t>stebėsena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</w:tr>
      <w:tr w:rsidR="00187B2C" w14:paraId="5F25C2E7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E5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E6" w14:textId="77777777" w:rsidR="00187B2C" w:rsidRDefault="009900EE">
            <w:pPr>
              <w:jc w:val="both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Kampilobakterijos</w:t>
            </w:r>
            <w:proofErr w:type="spellEnd"/>
            <w:r>
              <w:rPr>
                <w:bCs/>
                <w:szCs w:val="24"/>
              </w:rPr>
              <w:t xml:space="preserve"> (lot. </w:t>
            </w:r>
            <w:proofErr w:type="spellStart"/>
            <w:r>
              <w:rPr>
                <w:bCs/>
                <w:i/>
                <w:szCs w:val="24"/>
              </w:rPr>
              <w:t>Campylobacter</w:t>
            </w:r>
            <w:proofErr w:type="spellEnd"/>
            <w:r>
              <w:rPr>
                <w:bCs/>
                <w:szCs w:val="24"/>
              </w:rPr>
              <w:t xml:space="preserve">)  </w:t>
            </w:r>
          </w:p>
        </w:tc>
      </w:tr>
      <w:tr w:rsidR="00187B2C" w14:paraId="5F25C2EA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E8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16.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E9" w14:textId="77777777" w:rsidR="00187B2C" w:rsidRDefault="009900EE">
            <w:pPr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Koaguliazę</w:t>
            </w:r>
            <w:proofErr w:type="spellEnd"/>
            <w:r>
              <w:rPr>
                <w:bCs/>
                <w:szCs w:val="24"/>
              </w:rPr>
              <w:t xml:space="preserve"> gaminantys stafilokokai, įskaitant auksinį stafilokoką (lot. </w:t>
            </w:r>
            <w:proofErr w:type="spellStart"/>
            <w:r>
              <w:rPr>
                <w:bCs/>
                <w:i/>
                <w:szCs w:val="24"/>
              </w:rPr>
              <w:t>Staphylococcus</w:t>
            </w:r>
            <w:proofErr w:type="spellEnd"/>
            <w:r>
              <w:rPr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Cs w:val="24"/>
              </w:rPr>
              <w:t>aureus</w:t>
            </w:r>
            <w:proofErr w:type="spellEnd"/>
            <w:r>
              <w:rPr>
                <w:bCs/>
                <w:szCs w:val="24"/>
              </w:rPr>
              <w:t xml:space="preserve">) </w:t>
            </w:r>
          </w:p>
        </w:tc>
      </w:tr>
      <w:tr w:rsidR="00187B2C" w14:paraId="5F25C2ED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EB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17.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EC" w14:textId="77777777" w:rsidR="00187B2C" w:rsidRDefault="009900EE">
            <w:pPr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Monocitogeninės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listerijos</w:t>
            </w:r>
            <w:proofErr w:type="spellEnd"/>
            <w:r>
              <w:rPr>
                <w:bCs/>
                <w:szCs w:val="24"/>
              </w:rPr>
              <w:t xml:space="preserve"> (lot. </w:t>
            </w:r>
            <w:proofErr w:type="spellStart"/>
            <w:r>
              <w:rPr>
                <w:bCs/>
                <w:i/>
                <w:szCs w:val="24"/>
              </w:rPr>
              <w:t>Listeria</w:t>
            </w:r>
            <w:proofErr w:type="spellEnd"/>
            <w:r>
              <w:rPr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Cs w:val="24"/>
              </w:rPr>
              <w:t>monocytogenes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</w:tr>
      <w:tr w:rsidR="00187B2C" w14:paraId="5F25C2F0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EE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18.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EF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Metalai ir azoto junginiai maiste ir pašaruose</w:t>
            </w:r>
            <w:r>
              <w:rPr>
                <w:szCs w:val="24"/>
              </w:rPr>
              <w:t xml:space="preserve"> </w:t>
            </w:r>
          </w:p>
        </w:tc>
      </w:tr>
      <w:tr w:rsidR="00187B2C" w14:paraId="5F25C2F3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F1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19.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F2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Mėlynojo liežu</w:t>
            </w:r>
            <w:r>
              <w:rPr>
                <w:szCs w:val="24"/>
              </w:rPr>
              <w:t>vio liga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187B2C" w14:paraId="5F25C2F6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F4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F5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Mikotoksinai ir augalų toksinai</w:t>
            </w:r>
          </w:p>
        </w:tc>
      </w:tr>
      <w:tr w:rsidR="00187B2C" w14:paraId="5F25C2F9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F7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21.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F8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Niukaslio liga </w:t>
            </w:r>
          </w:p>
        </w:tc>
      </w:tr>
      <w:tr w:rsidR="00187B2C" w14:paraId="5F25C2FC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FA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22.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FB" w14:textId="77777777" w:rsidR="00187B2C" w:rsidRDefault="009900EE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Parazitai (trichinelės (lot. </w:t>
            </w:r>
            <w:proofErr w:type="spellStart"/>
            <w:r>
              <w:rPr>
                <w:bCs/>
                <w:i/>
                <w:szCs w:val="24"/>
              </w:rPr>
              <w:t>Trichinella</w:t>
            </w:r>
            <w:proofErr w:type="spellEnd"/>
            <w:r>
              <w:rPr>
                <w:bCs/>
                <w:szCs w:val="24"/>
              </w:rPr>
              <w:t xml:space="preserve">), </w:t>
            </w:r>
            <w:proofErr w:type="spellStart"/>
            <w:r>
              <w:rPr>
                <w:bCs/>
                <w:szCs w:val="24"/>
              </w:rPr>
              <w:t>echinokokai</w:t>
            </w:r>
            <w:proofErr w:type="spellEnd"/>
            <w:r>
              <w:rPr>
                <w:bCs/>
                <w:szCs w:val="24"/>
              </w:rPr>
              <w:t xml:space="preserve"> (lot.</w:t>
            </w:r>
            <w:r>
              <w:rPr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Cs w:val="24"/>
              </w:rPr>
              <w:t>Echinococcus</w:t>
            </w:r>
            <w:proofErr w:type="spellEnd"/>
            <w:r>
              <w:rPr>
                <w:bCs/>
                <w:szCs w:val="24"/>
              </w:rPr>
              <w:t>),</w:t>
            </w:r>
            <w:r>
              <w:rPr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anisakiai</w:t>
            </w:r>
            <w:proofErr w:type="spellEnd"/>
            <w:r>
              <w:rPr>
                <w:bCs/>
                <w:szCs w:val="24"/>
              </w:rPr>
              <w:t xml:space="preserve"> (lot. </w:t>
            </w:r>
            <w:proofErr w:type="spellStart"/>
            <w:r>
              <w:rPr>
                <w:bCs/>
                <w:i/>
                <w:szCs w:val="24"/>
              </w:rPr>
              <w:t>Anisakis</w:t>
            </w:r>
            <w:proofErr w:type="spellEnd"/>
            <w:r>
              <w:rPr>
                <w:bCs/>
                <w:szCs w:val="24"/>
              </w:rPr>
              <w:t xml:space="preserve">) </w:t>
            </w:r>
          </w:p>
        </w:tc>
      </w:tr>
      <w:tr w:rsidR="00187B2C" w14:paraId="5F25C2FF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2FD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23.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2FE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Pasiutligė, </w:t>
            </w:r>
            <w:r>
              <w:rPr>
                <w:rFonts w:eastAsia="Arial Unicode MS"/>
                <w:bCs/>
                <w:szCs w:val="24"/>
                <w:shd w:val="clear" w:color="auto" w:fill="FFFFFF"/>
              </w:rPr>
              <w:t xml:space="preserve">vakcinų nuo pasiutligės veiksmingumo kontrolė </w:t>
            </w:r>
          </w:p>
        </w:tc>
      </w:tr>
      <w:tr w:rsidR="00187B2C" w14:paraId="5F25C302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00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24.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01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Paukščių gripas </w:t>
            </w:r>
          </w:p>
        </w:tc>
      </w:tr>
      <w:tr w:rsidR="00187B2C" w14:paraId="5F25C305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03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25.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14:paraId="5F25C304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Per maistą plintantys virusai </w:t>
            </w:r>
          </w:p>
        </w:tc>
      </w:tr>
      <w:tr w:rsidR="00187B2C" w14:paraId="5F25C308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06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26.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07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Priedai, skirti naudoti gyvūnų mitybai </w:t>
            </w:r>
          </w:p>
        </w:tc>
      </w:tr>
      <w:tr w:rsidR="00187B2C" w14:paraId="5F25C30B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09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27.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0A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Perdirbant maistą susidarantys teršalai </w:t>
            </w:r>
          </w:p>
        </w:tc>
      </w:tr>
      <w:tr w:rsidR="00187B2C" w14:paraId="5F25C30E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0C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28.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0D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Pesticidų liekanos (javai ir pašarai) </w:t>
            </w:r>
          </w:p>
        </w:tc>
      </w:tr>
      <w:tr w:rsidR="00187B2C" w14:paraId="5F25C311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0F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29.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10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Pesticidų liekanos (gyvūninis maistas ir produktai, į kurių sudėtį įeina daug riebalų) </w:t>
            </w:r>
          </w:p>
        </w:tc>
      </w:tr>
      <w:tr w:rsidR="00187B2C" w14:paraId="5F25C314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12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30.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13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Pesticidų liekanos (vaisiai ir daržovės, įskaitant produktus, į kurių sudėtį įeina daug vandens ir rūgšties) </w:t>
            </w:r>
          </w:p>
        </w:tc>
      </w:tr>
      <w:tr w:rsidR="00187B2C" w14:paraId="5F25C317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15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31.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16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Pesticidų liekanos (pavienių liekanų nustatymo metodai) </w:t>
            </w:r>
          </w:p>
        </w:tc>
      </w:tr>
      <w:tr w:rsidR="00187B2C" w14:paraId="5F25C31A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18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32.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14:paraId="5F25C319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Smulkių atrajotojų maras</w:t>
            </w:r>
          </w:p>
        </w:tc>
      </w:tr>
      <w:tr w:rsidR="00187B2C" w14:paraId="5F25C31D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1B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33.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1C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Snukio ir nagų liga </w:t>
            </w:r>
          </w:p>
        </w:tc>
      </w:tr>
      <w:tr w:rsidR="00187B2C" w14:paraId="5F25C320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1E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34.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1F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Užkrečiamosios </w:t>
            </w:r>
            <w:proofErr w:type="spellStart"/>
            <w:r>
              <w:rPr>
                <w:bCs/>
                <w:szCs w:val="24"/>
              </w:rPr>
              <w:t>spongiforminės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encefalopatijos</w:t>
            </w:r>
            <w:proofErr w:type="spellEnd"/>
            <w:r>
              <w:rPr>
                <w:bCs/>
                <w:szCs w:val="24"/>
              </w:rPr>
              <w:t xml:space="preserve"> (USE) </w:t>
            </w:r>
          </w:p>
        </w:tc>
      </w:tr>
      <w:tr w:rsidR="00187B2C" w14:paraId="5F25C323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21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35.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22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Veterinarinių vaistų liekanos ir teršalai gyvūniniame maiste (direktyvos (EB) </w:t>
            </w:r>
            <w:proofErr w:type="spellStart"/>
            <w:r>
              <w:rPr>
                <w:bCs/>
                <w:szCs w:val="24"/>
              </w:rPr>
              <w:t>Nr</w:t>
            </w:r>
            <w:proofErr w:type="spellEnd"/>
            <w:r>
              <w:rPr>
                <w:bCs/>
                <w:szCs w:val="24"/>
              </w:rPr>
              <w:t xml:space="preserve">, 96/23/EB I priedas, A1, 2, 3, 4, B2d, B3d grupė ) </w:t>
            </w:r>
          </w:p>
        </w:tc>
      </w:tr>
      <w:tr w:rsidR="00187B2C" w14:paraId="5F25C326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24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36.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25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Veterinarinių vaistų liekanos ir teršalai gyvūniniame maiste (direktyvos (EB) Nr. 96/23/EB I priedas, B1, B3e grupė b</w:t>
            </w:r>
            <w:r>
              <w:rPr>
                <w:bCs/>
                <w:szCs w:val="24"/>
              </w:rPr>
              <w:t xml:space="preserve">ei </w:t>
            </w:r>
            <w:proofErr w:type="spellStart"/>
            <w:r>
              <w:rPr>
                <w:bCs/>
                <w:szCs w:val="24"/>
              </w:rPr>
              <w:t>karbadoksas</w:t>
            </w:r>
            <w:proofErr w:type="spellEnd"/>
            <w:r>
              <w:rPr>
                <w:bCs/>
                <w:szCs w:val="24"/>
              </w:rPr>
              <w:t xml:space="preserve"> ir </w:t>
            </w:r>
            <w:proofErr w:type="spellStart"/>
            <w:r>
              <w:rPr>
                <w:bCs/>
                <w:szCs w:val="24"/>
              </w:rPr>
              <w:t>olakvindoksas</w:t>
            </w:r>
            <w:proofErr w:type="spellEnd"/>
            <w:r>
              <w:rPr>
                <w:bCs/>
                <w:szCs w:val="24"/>
              </w:rPr>
              <w:t xml:space="preserve">) </w:t>
            </w:r>
          </w:p>
        </w:tc>
      </w:tr>
      <w:tr w:rsidR="00187B2C" w14:paraId="5F25C329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27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37.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28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Veterinarinių vaistų liekanos ir teršalai gyvūniniame maiste (direktyvos (EB) </w:t>
            </w:r>
            <w:proofErr w:type="spellStart"/>
            <w:r>
              <w:rPr>
                <w:bCs/>
                <w:szCs w:val="24"/>
              </w:rPr>
              <w:t>Nr</w:t>
            </w:r>
            <w:proofErr w:type="spellEnd"/>
            <w:r>
              <w:rPr>
                <w:bCs/>
                <w:szCs w:val="24"/>
              </w:rPr>
              <w:t>, 96/23/EB I priedas, A5, B2 a b e grupė)</w:t>
            </w:r>
          </w:p>
        </w:tc>
      </w:tr>
      <w:tr w:rsidR="00187B2C" w14:paraId="5F25C32C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2A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38.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14:paraId="5F25C32B" w14:textId="7777777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Veterinarinių vaistų liekanos ir teršalai gyvūniniame maiste (direktyvos (EB) </w:t>
            </w:r>
            <w:proofErr w:type="spellStart"/>
            <w:r>
              <w:rPr>
                <w:bCs/>
                <w:szCs w:val="24"/>
              </w:rPr>
              <w:t>Nr</w:t>
            </w:r>
            <w:proofErr w:type="spellEnd"/>
            <w:r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96/23/EB I priedas, A6, B2 f ir B3 f grupė)</w:t>
            </w:r>
          </w:p>
        </w:tc>
      </w:tr>
      <w:tr w:rsidR="00187B2C" w14:paraId="5F25C32F" w14:textId="77777777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5C32D" w14:textId="77777777" w:rsidR="00187B2C" w:rsidRDefault="009900EE">
            <w:pPr>
              <w:ind w:left="502" w:hanging="360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39.</w:t>
            </w:r>
            <w:r>
              <w:rPr>
                <w:rFonts w:eastAsia="Calibri"/>
                <w:bCs/>
                <w:szCs w:val="24"/>
              </w:rPr>
              <w:tab/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14:paraId="5F25C32E" w14:textId="05735417" w:rsidR="00187B2C" w:rsidRDefault="009900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Salmonelės (lot. </w:t>
            </w:r>
            <w:proofErr w:type="spellStart"/>
            <w:r>
              <w:rPr>
                <w:bCs/>
                <w:i/>
                <w:szCs w:val="24"/>
              </w:rPr>
              <w:t>Salmonella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</w:tr>
    </w:tbl>
    <w:p w14:paraId="5F25C330" w14:textId="25842B6D" w:rsidR="00187B2C" w:rsidRDefault="00187B2C">
      <w:pPr>
        <w:shd w:val="clear" w:color="auto" w:fill="FFFFFF"/>
        <w:jc w:val="center"/>
        <w:rPr>
          <w:color w:val="000000"/>
          <w:szCs w:val="24"/>
          <w:lang w:eastAsia="lt-LT"/>
        </w:rPr>
      </w:pPr>
    </w:p>
    <w:p w14:paraId="5F25C331" w14:textId="77777777" w:rsidR="00187B2C" w:rsidRDefault="009900EE">
      <w:pPr>
        <w:shd w:val="clear" w:color="auto" w:fill="FFFFFF"/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</w:t>
      </w:r>
    </w:p>
    <w:p w14:paraId="5F25C335" w14:textId="700A6BAD" w:rsidR="00187B2C" w:rsidRDefault="009900E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187B2C" w:rsidSect="009900EE">
      <w:headerReference w:type="first" r:id="rId15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C33A" w14:textId="77777777" w:rsidR="00187B2C" w:rsidRDefault="009900E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F25C33B" w14:textId="77777777" w:rsidR="00187B2C" w:rsidRDefault="009900E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C340" w14:textId="77777777" w:rsidR="00187B2C" w:rsidRDefault="00187B2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C341" w14:textId="77777777" w:rsidR="00187B2C" w:rsidRDefault="00187B2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C343" w14:textId="77777777" w:rsidR="00187B2C" w:rsidRDefault="00187B2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C338" w14:textId="77777777" w:rsidR="00187B2C" w:rsidRDefault="009900E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F25C339" w14:textId="77777777" w:rsidR="00187B2C" w:rsidRDefault="009900E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C33C" w14:textId="77777777" w:rsidR="00187B2C" w:rsidRDefault="009900E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F25C33D" w14:textId="77777777" w:rsidR="00187B2C" w:rsidRDefault="00187B2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C33E" w14:textId="77777777" w:rsidR="00187B2C" w:rsidRDefault="009900E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  <w:p w14:paraId="5F25C33F" w14:textId="77777777" w:rsidR="00187B2C" w:rsidRDefault="00187B2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7D6C" w14:textId="06F5BB42" w:rsidR="009900EE" w:rsidRDefault="009900EE">
    <w:pPr>
      <w:pStyle w:val="Antrats"/>
      <w:jc w:val="center"/>
    </w:pPr>
  </w:p>
  <w:p w14:paraId="5F25C342" w14:textId="77777777" w:rsidR="00187B2C" w:rsidRDefault="00187B2C">
    <w:pPr>
      <w:tabs>
        <w:tab w:val="center" w:pos="4986"/>
        <w:tab w:val="right" w:pos="99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6D53" w14:textId="44D6C421" w:rsidR="009900EE" w:rsidRDefault="009900EE">
    <w:pPr>
      <w:pStyle w:val="Antrats"/>
      <w:jc w:val="center"/>
    </w:pPr>
  </w:p>
  <w:p w14:paraId="2B42E9F6" w14:textId="77777777" w:rsidR="009900EE" w:rsidRDefault="009900E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87"/>
    <w:rsid w:val="00187B2C"/>
    <w:rsid w:val="009900EE"/>
    <w:rsid w:val="00C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F25C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900E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900EE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9900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900E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900EE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990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18"/>
    <w:rsid w:val="002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6F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6F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998</Words>
  <Characters>6896</Characters>
  <Application>Microsoft Office Word</Application>
  <DocSecurity>0</DocSecurity>
  <Lines>57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7879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2019-12-12T13:32:00Z</dcterms:created>
  <dc:creator>Saulius Kunickis</dc:creator>
  <lastModifiedBy>DRAZDAUSKIENĖ Nijolė</lastModifiedBy>
  <lastPrinted>2019-12-10T13:33:00Z</lastPrinted>
  <dcterms:modified xsi:type="dcterms:W3CDTF">2019-12-12T13:36:00Z</dcterms:modified>
  <revision>3</revision>
</coreProperties>
</file>