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FCBFF" w14:textId="270166AC" w:rsidR="00913FF4" w:rsidRPr="00A2320C" w:rsidRDefault="00A2320C" w:rsidP="00A2320C">
      <w:pPr>
        <w:tabs>
          <w:tab w:val="center" w:pos="4153"/>
          <w:tab w:val="right" w:pos="9100"/>
        </w:tabs>
        <w:suppressAutoHyphens/>
        <w:jc w:val="center"/>
        <w:rPr>
          <w:szCs w:val="24"/>
        </w:rPr>
      </w:pPr>
      <w:r w:rsidRPr="00A2320C">
        <w:rPr>
          <w:noProof/>
          <w:szCs w:val="24"/>
          <w:lang w:eastAsia="lt-LT"/>
        </w:rPr>
        <w:drawing>
          <wp:inline distT="0" distB="0" distL="0" distR="0" wp14:anchorId="768FCC4C" wp14:editId="768FCC4D">
            <wp:extent cx="523875" cy="619125"/>
            <wp:effectExtent l="19050" t="0" r="9525" b="0"/>
            <wp:docPr id="2" name="Picture 1"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8" cstate="print"/>
                    <a:srcRect/>
                    <a:stretch>
                      <a:fillRect/>
                    </a:stretch>
                  </pic:blipFill>
                  <pic:spPr bwMode="auto">
                    <a:xfrm>
                      <a:off x="0" y="0"/>
                      <a:ext cx="523875" cy="619125"/>
                    </a:xfrm>
                    <a:prstGeom prst="rect">
                      <a:avLst/>
                    </a:prstGeom>
                    <a:noFill/>
                    <a:ln w="9525">
                      <a:noFill/>
                      <a:miter lim="800000"/>
                      <a:headEnd/>
                      <a:tailEnd/>
                    </a:ln>
                  </pic:spPr>
                </pic:pic>
              </a:graphicData>
            </a:graphic>
          </wp:inline>
        </w:drawing>
      </w:r>
    </w:p>
    <w:p w14:paraId="768FCC00" w14:textId="77777777" w:rsidR="00913FF4" w:rsidRPr="00A2320C" w:rsidRDefault="00A2320C" w:rsidP="00A2320C">
      <w:pPr>
        <w:suppressAutoHyphens/>
        <w:jc w:val="center"/>
        <w:rPr>
          <w:b/>
          <w:bCs/>
          <w:szCs w:val="24"/>
          <w:lang w:eastAsia="lt-LT"/>
        </w:rPr>
      </w:pPr>
      <w:r w:rsidRPr="00A2320C">
        <w:rPr>
          <w:b/>
          <w:bCs/>
          <w:szCs w:val="24"/>
          <w:lang w:eastAsia="lt-LT"/>
        </w:rPr>
        <w:t>LIETUVOS RESPUBLIKOS APLINKOS MINISTRAS</w:t>
      </w:r>
    </w:p>
    <w:p w14:paraId="768FCC01" w14:textId="77777777" w:rsidR="00913FF4" w:rsidRPr="00A2320C" w:rsidRDefault="00913FF4" w:rsidP="00A2320C">
      <w:pPr>
        <w:jc w:val="center"/>
        <w:rPr>
          <w:szCs w:val="24"/>
        </w:rPr>
      </w:pPr>
    </w:p>
    <w:p w14:paraId="768FCC02" w14:textId="77777777" w:rsidR="00913FF4" w:rsidRPr="00A2320C" w:rsidRDefault="00A2320C" w:rsidP="00A2320C">
      <w:pPr>
        <w:suppressAutoHyphens/>
        <w:jc w:val="center"/>
        <w:rPr>
          <w:szCs w:val="24"/>
          <w:lang w:eastAsia="lt-LT"/>
        </w:rPr>
      </w:pPr>
      <w:r w:rsidRPr="00A2320C">
        <w:rPr>
          <w:b/>
          <w:bCs/>
          <w:szCs w:val="24"/>
          <w:lang w:eastAsia="lt-LT"/>
        </w:rPr>
        <w:t>ĮSAKYMAS</w:t>
      </w:r>
    </w:p>
    <w:p w14:paraId="768FCC03" w14:textId="5C6955B1" w:rsidR="00913FF4" w:rsidRPr="00A2320C" w:rsidRDefault="00A2320C" w:rsidP="00A2320C">
      <w:pPr>
        <w:suppressAutoHyphens/>
        <w:jc w:val="center"/>
        <w:rPr>
          <w:b/>
          <w:szCs w:val="24"/>
          <w:lang w:eastAsia="lt-LT"/>
        </w:rPr>
      </w:pPr>
      <w:r w:rsidRPr="00A2320C">
        <w:rPr>
          <w:b/>
          <w:szCs w:val="24"/>
          <w:lang w:eastAsia="lt-LT"/>
        </w:rPr>
        <w:t>DĖL FINANSAVIMO SKYRIMO PROJEKTUI, PATEIKTAM PAGAL</w:t>
      </w:r>
    </w:p>
    <w:p w14:paraId="768FCC04" w14:textId="77777777" w:rsidR="00913FF4" w:rsidRPr="00A2320C" w:rsidRDefault="00A2320C" w:rsidP="00A2320C">
      <w:pPr>
        <w:suppressAutoHyphens/>
        <w:jc w:val="center"/>
        <w:rPr>
          <w:b/>
          <w:szCs w:val="24"/>
          <w:lang w:eastAsia="lt-LT"/>
        </w:rPr>
      </w:pPr>
      <w:r w:rsidRPr="00A2320C">
        <w:rPr>
          <w:b/>
          <w:szCs w:val="24"/>
          <w:lang w:eastAsia="lt-LT"/>
        </w:rPr>
        <w:t xml:space="preserve">2014–2020 METŲ EUROPOS SĄJUNGOS FONDŲ INVESTICIJŲ VEIKSMŲ PROGRAMOS 5 PRIORITETO „APLINKOSAUGA, GAMTOS IŠTEKLIŲ DARNUS NAUDOJIMAS IR PRISITAIKYMAS </w:t>
      </w:r>
      <w:r w:rsidRPr="00A2320C">
        <w:rPr>
          <w:b/>
          <w:szCs w:val="24"/>
          <w:lang w:eastAsia="lt-LT"/>
        </w:rPr>
        <w:t>PRIE KLIMATO KAITOS“</w:t>
      </w:r>
    </w:p>
    <w:p w14:paraId="768FCC05" w14:textId="18F5DA07" w:rsidR="00913FF4" w:rsidRPr="00A2320C" w:rsidRDefault="00A2320C" w:rsidP="00A2320C">
      <w:pPr>
        <w:suppressAutoHyphens/>
        <w:jc w:val="center"/>
        <w:rPr>
          <w:b/>
          <w:szCs w:val="24"/>
          <w:lang w:eastAsia="lt-LT"/>
        </w:rPr>
      </w:pPr>
      <w:r w:rsidRPr="00A2320C">
        <w:rPr>
          <w:b/>
          <w:caps/>
          <w:szCs w:val="24"/>
          <w:lang w:eastAsia="lt-LT"/>
        </w:rPr>
        <w:t>05.6.1-</w:t>
      </w:r>
      <w:r w:rsidRPr="00A2320C">
        <w:rPr>
          <w:b/>
          <w:caps/>
          <w:szCs w:val="24"/>
          <w:lang w:eastAsia="lt-LT"/>
        </w:rPr>
        <w:t xml:space="preserve">APVA-V-020 </w:t>
      </w:r>
      <w:r w:rsidRPr="00A2320C">
        <w:rPr>
          <w:b/>
          <w:szCs w:val="24"/>
          <w:lang w:eastAsia="lt-LT"/>
        </w:rPr>
        <w:t>PRIEMONĘ</w:t>
      </w:r>
      <w:r w:rsidRPr="00A2320C">
        <w:rPr>
          <w:b/>
          <w:szCs w:val="24"/>
          <w:lang w:eastAsia="lt-LT"/>
        </w:rPr>
        <w:t xml:space="preserve"> „UŽTERŠTŲ TERITORIJŲ TVARKYMAS“</w:t>
      </w:r>
    </w:p>
    <w:p w14:paraId="768FCC06" w14:textId="77777777" w:rsidR="00913FF4" w:rsidRPr="00A2320C" w:rsidRDefault="00913FF4" w:rsidP="00A2320C">
      <w:pPr>
        <w:suppressAutoHyphens/>
        <w:jc w:val="center"/>
        <w:rPr>
          <w:szCs w:val="24"/>
          <w:lang w:eastAsia="lt-LT"/>
        </w:rPr>
      </w:pPr>
    </w:p>
    <w:p w14:paraId="768FCC07" w14:textId="77777777" w:rsidR="00913FF4" w:rsidRPr="00A2320C" w:rsidRDefault="00A2320C" w:rsidP="00A2320C">
      <w:pPr>
        <w:suppressAutoHyphens/>
        <w:jc w:val="center"/>
        <w:rPr>
          <w:szCs w:val="24"/>
          <w:lang w:eastAsia="lt-LT"/>
        </w:rPr>
      </w:pPr>
      <w:r w:rsidRPr="00A2320C">
        <w:rPr>
          <w:szCs w:val="24"/>
          <w:lang w:eastAsia="lt-LT"/>
        </w:rPr>
        <w:t>2018 m. birželio 5 d. Nr. D1-458</w:t>
      </w:r>
    </w:p>
    <w:p w14:paraId="768FCC08" w14:textId="77777777" w:rsidR="00913FF4" w:rsidRPr="00A2320C" w:rsidRDefault="00A2320C" w:rsidP="00A2320C">
      <w:pPr>
        <w:suppressAutoHyphens/>
        <w:jc w:val="center"/>
        <w:rPr>
          <w:szCs w:val="24"/>
          <w:lang w:eastAsia="lt-LT"/>
        </w:rPr>
      </w:pPr>
      <w:r w:rsidRPr="00A2320C">
        <w:rPr>
          <w:szCs w:val="24"/>
          <w:lang w:eastAsia="lt-LT"/>
        </w:rPr>
        <w:t>Vilnius</w:t>
      </w:r>
    </w:p>
    <w:p w14:paraId="768FCC09" w14:textId="77777777" w:rsidR="00913FF4" w:rsidRPr="00A2320C" w:rsidRDefault="00913FF4" w:rsidP="00A2320C">
      <w:pPr>
        <w:suppressAutoHyphens/>
        <w:jc w:val="center"/>
        <w:rPr>
          <w:b/>
          <w:szCs w:val="24"/>
          <w:lang w:eastAsia="lt-LT"/>
        </w:rPr>
      </w:pPr>
    </w:p>
    <w:p w14:paraId="6C0F7AC9" w14:textId="499DD5FE" w:rsidR="00A2320C" w:rsidRPr="00A2320C" w:rsidRDefault="00A2320C" w:rsidP="00A2320C">
      <w:pPr>
        <w:suppressAutoHyphens/>
        <w:jc w:val="center"/>
        <w:rPr>
          <w:b/>
          <w:szCs w:val="24"/>
          <w:lang w:eastAsia="lt-LT"/>
        </w:rPr>
      </w:pPr>
    </w:p>
    <w:p w14:paraId="768FCC0A" w14:textId="72A81D07" w:rsidR="00913FF4" w:rsidRDefault="00A2320C" w:rsidP="00A2320C">
      <w:pPr>
        <w:suppressAutoHyphens/>
        <w:spacing w:line="276" w:lineRule="auto"/>
        <w:ind w:firstLine="720"/>
        <w:jc w:val="both"/>
        <w:rPr>
          <w:lang w:eastAsia="lt-LT"/>
        </w:rPr>
      </w:pPr>
      <w:r>
        <w:rPr>
          <w:lang w:eastAsia="lt-LT"/>
        </w:rPr>
        <w:t>Vadovaudamasis Atsakomybės ir funkcijų paskirstymo tarp institucijų, įgyvendinant 2014–2020 metų Europos Sąjungos fondų investicijų</w:t>
      </w:r>
      <w:r>
        <w:rPr>
          <w:lang w:eastAsia="lt-LT"/>
        </w:rPr>
        <w:t xml:space="preserve"> veiksmų programą, taisyklių, patvirtintų Lietuvos Respublikos Vyriausybės 2014 m. birželio 4 d. nutarimu Nr. 528 „Dėl </w:t>
      </w:r>
      <w:r>
        <w:rPr>
          <w:bCs/>
          <w:lang w:eastAsia="lt-LT"/>
        </w:rPr>
        <w:t>Atsakomybės ir funkcijų paskirstymo tarp institucijų, įgyvendinant 2014–2020 metų Europos Sąjungos fondų investicijų veiksmų programą“, 6</w:t>
      </w:r>
      <w:r>
        <w:rPr>
          <w:bCs/>
          <w:lang w:eastAsia="lt-LT"/>
        </w:rPr>
        <w:t xml:space="preserve">.2.11 papunkčiu, Projektų administravimo ir finansavimo taisyklių, patvirtintų Lietuvos Respublikos finansų ministro 2014 m. spalio 8 d. įsakymu Nr. 1K–316 „Dėl Projektų administravimo ir finansavimo taisyklių patvirtinimo“, 153 ir 154 punktais, </w:t>
      </w:r>
      <w:r>
        <w:rPr>
          <w:lang w:eastAsia="lt-LT"/>
        </w:rPr>
        <w:t>2014–2020 </w:t>
      </w:r>
      <w:r>
        <w:rPr>
          <w:lang w:eastAsia="lt-LT"/>
        </w:rPr>
        <w:t>m. Europos Sąjungos fondų investicijų veiksmų programos 5 prioriteto „Aplinkosauga, gamtos išteklių darnus naudojimas ir prisitaikymas prie klimato kaitos“ 05.6.1-APVA-V-020</w:t>
      </w:r>
      <w:r>
        <w:rPr>
          <w:b/>
          <w:lang w:eastAsia="lt-LT"/>
        </w:rPr>
        <w:t xml:space="preserve"> </w:t>
      </w:r>
      <w:r>
        <w:rPr>
          <w:lang w:eastAsia="lt-LT"/>
        </w:rPr>
        <w:t>priemonės „Užterštų teritorijų tvarkymas“ projektų finansavimo sąlygų aprašo, patv</w:t>
      </w:r>
      <w:r>
        <w:rPr>
          <w:lang w:eastAsia="lt-LT"/>
        </w:rPr>
        <w:t>irtinto Lietuvos Respublikos aplinkos ministro 2015 m. lapkričio 23 d. įsakymu Nr. D1-841 „Dėl 2014–2020 m. Europos Sąjungos fondų investicijų veiksmų programos 5 prioriteto „Aplinkosauga, gamtos išteklių darnus naudojimas ir prisitaikymas prie klimato kai</w:t>
      </w:r>
      <w:r>
        <w:rPr>
          <w:lang w:eastAsia="lt-LT"/>
        </w:rPr>
        <w:t>tos“ 05.6.1-APVA-V-020 priemonės „Užterštų teritorijų tvarkymas“ projektų finansavimo sąlygų aprašo patvirtinimo“, 51 punktu ir atsižvelgdamas į 2014–2020 metų Europos Sąjungos fondų investicijų veiksmų programos 5 prioriteto „Aplinkosauga, gamtos išteklių</w:t>
      </w:r>
      <w:r>
        <w:rPr>
          <w:lang w:eastAsia="lt-LT"/>
        </w:rPr>
        <w:t xml:space="preserve"> darnus naudojimas ir prisitaikymas prie klimato kaitos“ 05.6.1-APVA-V-020 priemonės „Užterštų teritorijų tvarkymas“ iš Europos Sąjungos struktūrinių fondų lėšų siūlomų bendrai finansuoti valstybės projektų sąrašo, patvirtinto Lietuvos Respublikos aplinkos</w:t>
      </w:r>
      <w:r>
        <w:rPr>
          <w:lang w:eastAsia="lt-LT"/>
        </w:rPr>
        <w:t xml:space="preserve"> ministro 2016 m. vasario 25 d. įsakymu Nr. D1-141 „Dėl 2014–2020 metų Europos Sąjungos fondų investicijų veiksmų programos 5 prioriteto „Aplinkosauga, gamtos išteklių darnus naudojimas ir prisitaikymas prie klimato kaitos“ 05.6.1-APVA-V-020 priemonės „Užt</w:t>
      </w:r>
      <w:r>
        <w:rPr>
          <w:lang w:eastAsia="lt-LT"/>
        </w:rPr>
        <w:t>erštų teritorijų tvarkymas“ iš Europos Sąjungos struktūrinių fondų lėšų siūlomų bendrai finansuoti valstybės projektų sąrašo patvirtinimo“, 31 punktą ir Lietuvos Respublikos aplinkos ministerijos Aplinkos projektų valdymo agentūros 2018 m. gegužės 30 d. ra</w:t>
      </w:r>
      <w:r>
        <w:rPr>
          <w:lang w:eastAsia="lt-LT"/>
        </w:rPr>
        <w:t>štu Nr. (29-2-3)-APVA-783 pateiktą projekto tinkamumo finansuoti vertinimo ataskaitą Nr. </w:t>
      </w:r>
      <w:r>
        <w:rPr>
          <w:lang w:eastAsia="lt-LT"/>
        </w:rPr>
        <w:t>27:</w:t>
      </w:r>
    </w:p>
    <w:p w14:paraId="768FCC0B" w14:textId="77777777" w:rsidR="00913FF4" w:rsidRDefault="00A2320C" w:rsidP="00A2320C">
      <w:pPr>
        <w:tabs>
          <w:tab w:val="left" w:pos="993"/>
        </w:tabs>
        <w:suppressAutoHyphens/>
        <w:spacing w:line="276" w:lineRule="auto"/>
        <w:ind w:firstLine="720"/>
        <w:jc w:val="both"/>
        <w:rPr>
          <w:lang w:eastAsia="lt-LT"/>
        </w:rPr>
      </w:pPr>
      <w:r>
        <w:rPr>
          <w:lang w:eastAsia="lt-LT"/>
        </w:rPr>
        <w:t>1</w:t>
      </w:r>
      <w:r>
        <w:rPr>
          <w:lang w:eastAsia="lt-LT"/>
        </w:rPr>
        <w:t>.</w:t>
      </w:r>
      <w:r>
        <w:rPr>
          <w:lang w:eastAsia="lt-LT"/>
        </w:rPr>
        <w:tab/>
        <w:t>S k i r i u  šio įsakymo priede nurodytą finansavimą projektui pagal 2014–2020 m. Europos Sąjungos fondų investicijų veiksmų programos 5 prioriteto „Aplin</w:t>
      </w:r>
      <w:r>
        <w:rPr>
          <w:lang w:eastAsia="lt-LT"/>
        </w:rPr>
        <w:t>kosauga, gamtos išteklių darnus naudojimas ir prisitaikymas prie klimato kaitos“ 5.6.1 konkretų uždavinį „Sumažinti miestuose kietųjų dalelių ore ir cheminių medžiagų grunte pavojaus sveikatai ir aplinkai taršos lygį“ 05.6.1-APVA-V-020 priemonę „Užterštų t</w:t>
      </w:r>
      <w:r>
        <w:rPr>
          <w:lang w:eastAsia="lt-LT"/>
        </w:rPr>
        <w:t>eritorijų tvarkymas“.</w:t>
      </w:r>
    </w:p>
    <w:p w14:paraId="768FCC0C" w14:textId="77777777" w:rsidR="00913FF4" w:rsidRDefault="00A2320C" w:rsidP="00A2320C">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lang w:eastAsia="lt-LT"/>
        </w:rPr>
      </w:pPr>
      <w:r>
        <w:rPr>
          <w:szCs w:val="24"/>
          <w:lang w:eastAsia="lt-LT"/>
        </w:rPr>
        <w:t>2</w:t>
      </w:r>
      <w:r>
        <w:rPr>
          <w:szCs w:val="24"/>
          <w:lang w:eastAsia="lt-LT"/>
        </w:rPr>
        <w:t>.</w:t>
      </w:r>
      <w:r>
        <w:rPr>
          <w:szCs w:val="24"/>
          <w:lang w:eastAsia="lt-LT"/>
        </w:rPr>
        <w:tab/>
        <w:t xml:space="preserve">Šis įsakymas per vieną mėnesį gali būti skundžiamas Vyriausiajai administracinių ginčų komisijai arba Vilniaus apygardos administraciniam teismui Lietuvos Respublikos </w:t>
      </w:r>
      <w:r>
        <w:rPr>
          <w:iCs/>
          <w:color w:val="000000"/>
          <w:szCs w:val="24"/>
          <w:lang w:eastAsia="lt-LT"/>
        </w:rPr>
        <w:t>administracinių bylų teisenos įstatymo</w:t>
      </w:r>
      <w:r>
        <w:rPr>
          <w:szCs w:val="24"/>
          <w:lang w:eastAsia="lt-LT"/>
        </w:rPr>
        <w:t xml:space="preserve"> nustatyta tvarka.</w:t>
      </w:r>
    </w:p>
    <w:p w14:paraId="768FCC0D" w14:textId="5A09E675" w:rsidR="00913FF4" w:rsidRDefault="00A2320C" w:rsidP="00A2320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lang w:eastAsia="lt-LT"/>
        </w:rPr>
      </w:pPr>
      <w:r>
        <w:rPr>
          <w:szCs w:val="24"/>
          <w:lang w:eastAsia="lt-LT"/>
        </w:rPr>
        <w:t>3</w:t>
      </w:r>
      <w:r>
        <w:rPr>
          <w:szCs w:val="24"/>
          <w:lang w:eastAsia="lt-LT"/>
        </w:rPr>
        <w:t>.</w:t>
      </w:r>
      <w:r>
        <w:rPr>
          <w:szCs w:val="24"/>
          <w:lang w:eastAsia="lt-LT"/>
        </w:rPr>
        <w:tab/>
        <w:t>N u s t a t a u,  kad šis įsakymas įsigalioja kitą dieną po paskelbimo Teisės aktų registre.</w:t>
      </w:r>
    </w:p>
    <w:p w14:paraId="768FCC0E" w14:textId="7B51B9EC" w:rsidR="00913FF4" w:rsidRDefault="00913FF4" w:rsidP="00A2320C">
      <w:pPr>
        <w:suppressAutoHyphens/>
        <w:ind w:firstLine="720"/>
        <w:jc w:val="both"/>
        <w:rPr>
          <w:lang w:eastAsia="lt-LT"/>
        </w:rPr>
      </w:pPr>
    </w:p>
    <w:p w14:paraId="5A9DBCC8" w14:textId="77777777" w:rsidR="00A2320C" w:rsidRDefault="00A2320C" w:rsidP="00A2320C">
      <w:pPr>
        <w:suppressAutoHyphens/>
        <w:ind w:firstLine="720"/>
        <w:jc w:val="both"/>
        <w:rPr>
          <w:lang w:eastAsia="lt-LT"/>
        </w:rPr>
      </w:pPr>
    </w:p>
    <w:p w14:paraId="7B9C9114" w14:textId="77777777" w:rsidR="00A2320C" w:rsidRDefault="00A2320C" w:rsidP="00A2320C">
      <w:pPr>
        <w:suppressAutoHyphens/>
        <w:ind w:firstLine="720"/>
        <w:rPr>
          <w:lang w:eastAsia="lt-LT"/>
        </w:rPr>
      </w:pPr>
    </w:p>
    <w:p w14:paraId="4076AECA" w14:textId="77777777" w:rsidR="00A2320C" w:rsidRDefault="00A2320C" w:rsidP="00A2320C">
      <w:pPr>
        <w:tabs>
          <w:tab w:val="left" w:pos="7655"/>
        </w:tabs>
        <w:suppressAutoHyphens/>
        <w:rPr>
          <w:lang w:eastAsia="lt-LT"/>
        </w:rPr>
      </w:pPr>
      <w:r>
        <w:rPr>
          <w:lang w:eastAsia="lt-LT"/>
        </w:rPr>
        <w:t>Aplinkos ministras</w:t>
      </w:r>
      <w:r>
        <w:rPr>
          <w:lang w:eastAsia="lt-LT"/>
        </w:rPr>
        <w:tab/>
        <w:t>Kęstutis Navickas</w:t>
      </w:r>
    </w:p>
    <w:p w14:paraId="768FCC16" w14:textId="5F07EA0D" w:rsidR="00913FF4" w:rsidRDefault="00A2320C">
      <w:pPr>
        <w:suppressAutoHyphens/>
        <w:rPr>
          <w:lang w:eastAsia="lt-LT"/>
        </w:rPr>
      </w:pPr>
    </w:p>
    <w:p w14:paraId="0D5599DD" w14:textId="6AA6BC1E" w:rsidR="00A2320C" w:rsidRDefault="00A2320C">
      <w:pPr>
        <w:suppressAutoHyphens/>
        <w:rPr>
          <w:lang w:eastAsia="lt-LT"/>
        </w:rPr>
        <w:sectPr w:rsidR="00A2320C">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907" w:right="567" w:bottom="510" w:left="1701" w:header="1140" w:footer="919" w:gutter="0"/>
          <w:cols w:space="1296"/>
          <w:titlePg/>
          <w:docGrid w:linePitch="360"/>
        </w:sectPr>
      </w:pPr>
    </w:p>
    <w:p w14:paraId="0E3BA887" w14:textId="77777777" w:rsidR="00A2320C" w:rsidRDefault="00A2320C">
      <w:pPr>
        <w:suppressAutoHyphens/>
        <w:ind w:left="3969" w:firstLine="5022"/>
        <w:rPr>
          <w:szCs w:val="24"/>
          <w:lang w:eastAsia="lt-LT"/>
        </w:rPr>
      </w:pPr>
      <w:r>
        <w:rPr>
          <w:szCs w:val="24"/>
          <w:lang w:eastAsia="lt-LT"/>
        </w:rPr>
        <w:lastRenderedPageBreak/>
        <w:t xml:space="preserve">Lietuvos Respublikos aplinkos ministro  </w:t>
      </w:r>
    </w:p>
    <w:p w14:paraId="6D07C54D" w14:textId="77777777" w:rsidR="00A2320C" w:rsidRDefault="00A2320C" w:rsidP="00A2320C">
      <w:pPr>
        <w:suppressAutoHyphens/>
        <w:ind w:left="3969" w:firstLine="5022"/>
        <w:rPr>
          <w:szCs w:val="24"/>
          <w:lang w:eastAsia="lt-LT"/>
        </w:rPr>
      </w:pPr>
      <w:r>
        <w:rPr>
          <w:szCs w:val="24"/>
          <w:lang w:eastAsia="lt-LT"/>
        </w:rPr>
        <w:t xml:space="preserve">2018 m. birželio 5 d. įsakymo Nr. D1-458      </w:t>
      </w:r>
    </w:p>
    <w:p w14:paraId="768FCC1A" w14:textId="5E29012C" w:rsidR="00913FF4" w:rsidRDefault="00A2320C" w:rsidP="00A2320C">
      <w:pPr>
        <w:suppressAutoHyphens/>
        <w:ind w:left="3969" w:firstLine="5022"/>
        <w:rPr>
          <w:szCs w:val="24"/>
          <w:lang w:eastAsia="lt-LT"/>
        </w:rPr>
      </w:pPr>
      <w:r>
        <w:rPr>
          <w:szCs w:val="24"/>
          <w:lang w:eastAsia="lt-LT"/>
        </w:rPr>
        <w:t>priedas</w:t>
      </w:r>
    </w:p>
    <w:p w14:paraId="768FCC1D" w14:textId="77777777" w:rsidR="00913FF4" w:rsidRDefault="00913FF4">
      <w:pPr>
        <w:suppressAutoHyphens/>
        <w:ind w:firstLine="851"/>
        <w:jc w:val="center"/>
        <w:rPr>
          <w:b/>
          <w:szCs w:val="24"/>
          <w:lang w:eastAsia="lt-LT"/>
        </w:rPr>
      </w:pPr>
    </w:p>
    <w:p w14:paraId="768FCC1E" w14:textId="77777777" w:rsidR="00913FF4" w:rsidRDefault="00913FF4">
      <w:pPr>
        <w:rPr>
          <w:sz w:val="20"/>
        </w:rPr>
      </w:pPr>
    </w:p>
    <w:p w14:paraId="768FCC1F" w14:textId="4B4C9425" w:rsidR="00913FF4" w:rsidRDefault="00A2320C">
      <w:pPr>
        <w:suppressAutoHyphens/>
        <w:ind w:firstLine="851"/>
        <w:jc w:val="center"/>
        <w:rPr>
          <w:b/>
          <w:szCs w:val="24"/>
          <w:lang w:eastAsia="lt-LT"/>
        </w:rPr>
      </w:pPr>
      <w:r>
        <w:rPr>
          <w:b/>
          <w:szCs w:val="24"/>
          <w:lang w:eastAsia="lt-LT"/>
        </w:rPr>
        <w:t xml:space="preserve">FINANSUOJAMI PROJEKTAI </w:t>
      </w:r>
    </w:p>
    <w:p w14:paraId="768FCC20" w14:textId="77777777" w:rsidR="00913FF4" w:rsidRDefault="00913FF4">
      <w:pPr>
        <w:rPr>
          <w:sz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985"/>
        <w:gridCol w:w="1417"/>
        <w:gridCol w:w="3402"/>
        <w:gridCol w:w="1701"/>
        <w:gridCol w:w="1843"/>
        <w:gridCol w:w="1984"/>
      </w:tblGrid>
      <w:tr w:rsidR="00913FF4" w14:paraId="768FCC2C" w14:textId="77777777" w:rsidTr="00A2320C">
        <w:trPr>
          <w:tblHeader/>
        </w:trPr>
        <w:tc>
          <w:tcPr>
            <w:tcW w:w="675" w:type="dxa"/>
            <w:vMerge w:val="restart"/>
            <w:vAlign w:val="center"/>
          </w:tcPr>
          <w:p w14:paraId="768FCC21" w14:textId="77777777" w:rsidR="00913FF4" w:rsidRDefault="00A2320C" w:rsidP="00A2320C">
            <w:pPr>
              <w:suppressAutoHyphens/>
              <w:jc w:val="center"/>
              <w:rPr>
                <w:b/>
                <w:sz w:val="20"/>
                <w:lang w:eastAsia="lt-LT"/>
              </w:rPr>
            </w:pPr>
            <w:r>
              <w:rPr>
                <w:b/>
                <w:sz w:val="20"/>
                <w:lang w:eastAsia="lt-LT"/>
              </w:rPr>
              <w:t>Eil. Nr.</w:t>
            </w:r>
          </w:p>
        </w:tc>
        <w:tc>
          <w:tcPr>
            <w:tcW w:w="1276" w:type="dxa"/>
            <w:vMerge w:val="restart"/>
            <w:vAlign w:val="center"/>
          </w:tcPr>
          <w:p w14:paraId="768FCC23" w14:textId="679852E2" w:rsidR="00913FF4" w:rsidRDefault="00A2320C" w:rsidP="00A2320C">
            <w:pPr>
              <w:suppressAutoHyphens/>
              <w:ind w:right="-108"/>
              <w:jc w:val="center"/>
              <w:rPr>
                <w:b/>
                <w:sz w:val="20"/>
                <w:lang w:eastAsia="lt-LT"/>
              </w:rPr>
            </w:pPr>
            <w:r>
              <w:rPr>
                <w:b/>
                <w:sz w:val="20"/>
                <w:lang w:eastAsia="lt-LT"/>
              </w:rPr>
              <w:t>Paraiškos kodas</w:t>
            </w:r>
          </w:p>
        </w:tc>
        <w:tc>
          <w:tcPr>
            <w:tcW w:w="1985" w:type="dxa"/>
            <w:vMerge w:val="restart"/>
            <w:vAlign w:val="center"/>
          </w:tcPr>
          <w:p w14:paraId="768FCC24" w14:textId="77777777" w:rsidR="00913FF4" w:rsidRDefault="00A2320C" w:rsidP="00A2320C">
            <w:pPr>
              <w:suppressAutoHyphens/>
              <w:ind w:left="-108" w:right="-249"/>
              <w:jc w:val="center"/>
              <w:rPr>
                <w:b/>
                <w:sz w:val="20"/>
                <w:lang w:eastAsia="lt-LT"/>
              </w:rPr>
            </w:pPr>
            <w:r>
              <w:rPr>
                <w:b/>
                <w:sz w:val="20"/>
                <w:lang w:eastAsia="lt-LT"/>
              </w:rPr>
              <w:t>Pareiškėjo</w:t>
            </w:r>
          </w:p>
          <w:p w14:paraId="768FCC26" w14:textId="59B09AAA" w:rsidR="00913FF4" w:rsidRDefault="00A2320C" w:rsidP="00A2320C">
            <w:pPr>
              <w:suppressAutoHyphens/>
              <w:ind w:left="-108" w:right="-249"/>
              <w:jc w:val="center"/>
              <w:rPr>
                <w:b/>
                <w:sz w:val="20"/>
                <w:lang w:eastAsia="lt-LT"/>
              </w:rPr>
            </w:pPr>
            <w:r>
              <w:rPr>
                <w:b/>
                <w:sz w:val="20"/>
                <w:lang w:eastAsia="lt-LT"/>
              </w:rPr>
              <w:t>pavadinimas</w:t>
            </w:r>
          </w:p>
        </w:tc>
        <w:tc>
          <w:tcPr>
            <w:tcW w:w="1417" w:type="dxa"/>
            <w:vMerge w:val="restart"/>
            <w:vAlign w:val="center"/>
          </w:tcPr>
          <w:p w14:paraId="768FCC28" w14:textId="672A618B" w:rsidR="00913FF4" w:rsidRDefault="00A2320C" w:rsidP="00A2320C">
            <w:pPr>
              <w:suppressAutoHyphens/>
              <w:jc w:val="center"/>
              <w:rPr>
                <w:b/>
                <w:sz w:val="20"/>
                <w:lang w:eastAsia="lt-LT"/>
              </w:rPr>
            </w:pPr>
            <w:r>
              <w:rPr>
                <w:b/>
                <w:sz w:val="20"/>
                <w:lang w:eastAsia="lt-LT"/>
              </w:rPr>
              <w:t xml:space="preserve">Pareiškėjo juridinio </w:t>
            </w:r>
            <w:r>
              <w:rPr>
                <w:b/>
                <w:sz w:val="20"/>
                <w:lang w:eastAsia="lt-LT"/>
              </w:rPr>
              <w:t>asmens kodas</w:t>
            </w:r>
          </w:p>
        </w:tc>
        <w:tc>
          <w:tcPr>
            <w:tcW w:w="3402" w:type="dxa"/>
            <w:vMerge w:val="restart"/>
            <w:vAlign w:val="center"/>
          </w:tcPr>
          <w:p w14:paraId="768FCC2A" w14:textId="5FED0004" w:rsidR="00913FF4" w:rsidRDefault="00A2320C" w:rsidP="00A2320C">
            <w:pPr>
              <w:suppressAutoHyphens/>
              <w:jc w:val="center"/>
              <w:rPr>
                <w:b/>
                <w:sz w:val="20"/>
                <w:lang w:eastAsia="lt-LT"/>
              </w:rPr>
            </w:pPr>
            <w:r>
              <w:rPr>
                <w:b/>
                <w:sz w:val="20"/>
                <w:lang w:eastAsia="lt-LT"/>
              </w:rPr>
              <w:t>Projekto pavadinimas</w:t>
            </w:r>
          </w:p>
        </w:tc>
        <w:tc>
          <w:tcPr>
            <w:tcW w:w="5528" w:type="dxa"/>
            <w:gridSpan w:val="3"/>
            <w:vAlign w:val="center"/>
          </w:tcPr>
          <w:p w14:paraId="768FCC2B" w14:textId="77777777" w:rsidR="00913FF4" w:rsidRDefault="00A2320C" w:rsidP="00A2320C">
            <w:pPr>
              <w:suppressAutoHyphens/>
              <w:jc w:val="center"/>
              <w:rPr>
                <w:b/>
                <w:sz w:val="20"/>
                <w:lang w:eastAsia="lt-LT"/>
              </w:rPr>
            </w:pPr>
            <w:r>
              <w:rPr>
                <w:b/>
                <w:sz w:val="20"/>
                <w:lang w:eastAsia="lt-LT"/>
              </w:rPr>
              <w:t>Projektui skiriamos finansavimo lėšos:</w:t>
            </w:r>
          </w:p>
        </w:tc>
      </w:tr>
      <w:tr w:rsidR="00913FF4" w14:paraId="768FCC35" w14:textId="77777777" w:rsidTr="00A2320C">
        <w:trPr>
          <w:tblHeader/>
        </w:trPr>
        <w:tc>
          <w:tcPr>
            <w:tcW w:w="675" w:type="dxa"/>
            <w:vMerge/>
            <w:vAlign w:val="center"/>
          </w:tcPr>
          <w:p w14:paraId="768FCC2D" w14:textId="77777777" w:rsidR="00913FF4" w:rsidRDefault="00913FF4" w:rsidP="00A2320C">
            <w:pPr>
              <w:suppressAutoHyphens/>
              <w:jc w:val="center"/>
              <w:rPr>
                <w:szCs w:val="24"/>
                <w:lang w:eastAsia="lt-LT"/>
              </w:rPr>
            </w:pPr>
          </w:p>
        </w:tc>
        <w:tc>
          <w:tcPr>
            <w:tcW w:w="1276" w:type="dxa"/>
            <w:vMerge/>
            <w:vAlign w:val="center"/>
          </w:tcPr>
          <w:p w14:paraId="768FCC2E" w14:textId="77777777" w:rsidR="00913FF4" w:rsidRDefault="00913FF4" w:rsidP="00A2320C">
            <w:pPr>
              <w:suppressAutoHyphens/>
              <w:jc w:val="center"/>
              <w:rPr>
                <w:szCs w:val="24"/>
                <w:lang w:eastAsia="lt-LT"/>
              </w:rPr>
            </w:pPr>
          </w:p>
        </w:tc>
        <w:tc>
          <w:tcPr>
            <w:tcW w:w="1985" w:type="dxa"/>
            <w:vMerge/>
            <w:vAlign w:val="center"/>
          </w:tcPr>
          <w:p w14:paraId="768FCC2F" w14:textId="77777777" w:rsidR="00913FF4" w:rsidRDefault="00913FF4" w:rsidP="00A2320C">
            <w:pPr>
              <w:suppressAutoHyphens/>
              <w:jc w:val="center"/>
              <w:rPr>
                <w:szCs w:val="24"/>
                <w:lang w:eastAsia="lt-LT"/>
              </w:rPr>
            </w:pPr>
          </w:p>
        </w:tc>
        <w:tc>
          <w:tcPr>
            <w:tcW w:w="1417" w:type="dxa"/>
            <w:vMerge/>
            <w:vAlign w:val="center"/>
          </w:tcPr>
          <w:p w14:paraId="768FCC30" w14:textId="77777777" w:rsidR="00913FF4" w:rsidRDefault="00913FF4" w:rsidP="00A2320C">
            <w:pPr>
              <w:suppressAutoHyphens/>
              <w:jc w:val="center"/>
              <w:rPr>
                <w:szCs w:val="24"/>
                <w:lang w:eastAsia="lt-LT"/>
              </w:rPr>
            </w:pPr>
          </w:p>
        </w:tc>
        <w:tc>
          <w:tcPr>
            <w:tcW w:w="3402" w:type="dxa"/>
            <w:vMerge/>
            <w:vAlign w:val="center"/>
          </w:tcPr>
          <w:p w14:paraId="768FCC31" w14:textId="77777777" w:rsidR="00913FF4" w:rsidRDefault="00913FF4" w:rsidP="00A2320C">
            <w:pPr>
              <w:suppressAutoHyphens/>
              <w:jc w:val="center"/>
              <w:rPr>
                <w:szCs w:val="24"/>
                <w:lang w:eastAsia="lt-LT"/>
              </w:rPr>
            </w:pPr>
          </w:p>
        </w:tc>
        <w:tc>
          <w:tcPr>
            <w:tcW w:w="1701" w:type="dxa"/>
            <w:vMerge w:val="restart"/>
            <w:vAlign w:val="center"/>
          </w:tcPr>
          <w:p w14:paraId="768FCC33" w14:textId="22267039" w:rsidR="00913FF4" w:rsidRDefault="00A2320C" w:rsidP="00A2320C">
            <w:pPr>
              <w:suppressAutoHyphens/>
              <w:jc w:val="center"/>
              <w:rPr>
                <w:b/>
                <w:sz w:val="20"/>
                <w:lang w:eastAsia="lt-LT"/>
              </w:rPr>
            </w:pPr>
            <w:r>
              <w:rPr>
                <w:b/>
                <w:sz w:val="20"/>
                <w:lang w:eastAsia="lt-LT"/>
              </w:rPr>
              <w:t xml:space="preserve">iš viso iki, </w:t>
            </w:r>
            <w:proofErr w:type="spellStart"/>
            <w:r>
              <w:rPr>
                <w:b/>
                <w:sz w:val="20"/>
                <w:lang w:eastAsia="lt-LT"/>
              </w:rPr>
              <w:t>Eur</w:t>
            </w:r>
            <w:proofErr w:type="spellEnd"/>
            <w:r>
              <w:rPr>
                <w:b/>
                <w:sz w:val="20"/>
                <w:lang w:eastAsia="lt-LT"/>
              </w:rPr>
              <w:t>:</w:t>
            </w:r>
          </w:p>
        </w:tc>
        <w:tc>
          <w:tcPr>
            <w:tcW w:w="3827" w:type="dxa"/>
            <w:gridSpan w:val="2"/>
            <w:vAlign w:val="center"/>
          </w:tcPr>
          <w:p w14:paraId="768FCC34" w14:textId="77777777" w:rsidR="00913FF4" w:rsidRDefault="00A2320C" w:rsidP="00A2320C">
            <w:pPr>
              <w:suppressAutoHyphens/>
              <w:jc w:val="center"/>
              <w:rPr>
                <w:b/>
                <w:sz w:val="20"/>
                <w:lang w:eastAsia="lt-LT"/>
              </w:rPr>
            </w:pPr>
            <w:r>
              <w:rPr>
                <w:b/>
                <w:sz w:val="20"/>
                <w:lang w:eastAsia="lt-LT"/>
              </w:rPr>
              <w:t>iš jų:</w:t>
            </w:r>
          </w:p>
        </w:tc>
      </w:tr>
      <w:tr w:rsidR="00913FF4" w14:paraId="768FCC3E" w14:textId="77777777" w:rsidTr="00A2320C">
        <w:trPr>
          <w:tblHeader/>
        </w:trPr>
        <w:tc>
          <w:tcPr>
            <w:tcW w:w="675" w:type="dxa"/>
            <w:vMerge/>
            <w:vAlign w:val="center"/>
          </w:tcPr>
          <w:p w14:paraId="768FCC36" w14:textId="77777777" w:rsidR="00913FF4" w:rsidRDefault="00913FF4" w:rsidP="00A2320C">
            <w:pPr>
              <w:suppressAutoHyphens/>
              <w:jc w:val="center"/>
              <w:rPr>
                <w:szCs w:val="24"/>
                <w:lang w:eastAsia="lt-LT"/>
              </w:rPr>
            </w:pPr>
          </w:p>
        </w:tc>
        <w:tc>
          <w:tcPr>
            <w:tcW w:w="1276" w:type="dxa"/>
            <w:vMerge/>
            <w:vAlign w:val="center"/>
          </w:tcPr>
          <w:p w14:paraId="768FCC37" w14:textId="77777777" w:rsidR="00913FF4" w:rsidRDefault="00913FF4" w:rsidP="00A2320C">
            <w:pPr>
              <w:suppressAutoHyphens/>
              <w:jc w:val="center"/>
              <w:rPr>
                <w:szCs w:val="24"/>
                <w:lang w:eastAsia="lt-LT"/>
              </w:rPr>
            </w:pPr>
          </w:p>
        </w:tc>
        <w:tc>
          <w:tcPr>
            <w:tcW w:w="1985" w:type="dxa"/>
            <w:vMerge/>
            <w:vAlign w:val="center"/>
          </w:tcPr>
          <w:p w14:paraId="768FCC38" w14:textId="77777777" w:rsidR="00913FF4" w:rsidRDefault="00913FF4" w:rsidP="00A2320C">
            <w:pPr>
              <w:suppressAutoHyphens/>
              <w:jc w:val="center"/>
              <w:rPr>
                <w:szCs w:val="24"/>
                <w:lang w:eastAsia="lt-LT"/>
              </w:rPr>
            </w:pPr>
          </w:p>
        </w:tc>
        <w:tc>
          <w:tcPr>
            <w:tcW w:w="1417" w:type="dxa"/>
            <w:vMerge/>
            <w:vAlign w:val="center"/>
          </w:tcPr>
          <w:p w14:paraId="768FCC39" w14:textId="77777777" w:rsidR="00913FF4" w:rsidRDefault="00913FF4" w:rsidP="00A2320C">
            <w:pPr>
              <w:suppressAutoHyphens/>
              <w:jc w:val="center"/>
              <w:rPr>
                <w:szCs w:val="24"/>
                <w:lang w:eastAsia="lt-LT"/>
              </w:rPr>
            </w:pPr>
          </w:p>
        </w:tc>
        <w:tc>
          <w:tcPr>
            <w:tcW w:w="3402" w:type="dxa"/>
            <w:vMerge/>
            <w:vAlign w:val="center"/>
          </w:tcPr>
          <w:p w14:paraId="768FCC3A" w14:textId="77777777" w:rsidR="00913FF4" w:rsidRDefault="00913FF4" w:rsidP="00A2320C">
            <w:pPr>
              <w:suppressAutoHyphens/>
              <w:jc w:val="center"/>
              <w:rPr>
                <w:szCs w:val="24"/>
                <w:lang w:eastAsia="lt-LT"/>
              </w:rPr>
            </w:pPr>
          </w:p>
        </w:tc>
        <w:tc>
          <w:tcPr>
            <w:tcW w:w="1701" w:type="dxa"/>
            <w:vMerge/>
            <w:vAlign w:val="center"/>
          </w:tcPr>
          <w:p w14:paraId="768FCC3B" w14:textId="77777777" w:rsidR="00913FF4" w:rsidRDefault="00913FF4" w:rsidP="00A2320C">
            <w:pPr>
              <w:suppressAutoHyphens/>
              <w:jc w:val="center"/>
              <w:rPr>
                <w:b/>
                <w:sz w:val="20"/>
                <w:lang w:eastAsia="lt-LT"/>
              </w:rPr>
            </w:pPr>
          </w:p>
        </w:tc>
        <w:tc>
          <w:tcPr>
            <w:tcW w:w="1843" w:type="dxa"/>
            <w:vAlign w:val="center"/>
          </w:tcPr>
          <w:p w14:paraId="768FCC3C" w14:textId="77777777" w:rsidR="00913FF4" w:rsidRDefault="00A2320C" w:rsidP="00A2320C">
            <w:pPr>
              <w:suppressAutoHyphens/>
              <w:jc w:val="center"/>
              <w:rPr>
                <w:b/>
                <w:sz w:val="20"/>
                <w:lang w:eastAsia="lt-LT"/>
              </w:rPr>
            </w:pPr>
            <w:r>
              <w:rPr>
                <w:b/>
                <w:sz w:val="20"/>
                <w:lang w:eastAsia="lt-LT"/>
              </w:rPr>
              <w:t xml:space="preserve">Europos Sąjungos struktūrinių fondų lėšos iki, </w:t>
            </w:r>
            <w:proofErr w:type="spellStart"/>
            <w:r>
              <w:rPr>
                <w:b/>
                <w:sz w:val="20"/>
                <w:lang w:eastAsia="lt-LT"/>
              </w:rPr>
              <w:t>Eur</w:t>
            </w:r>
            <w:proofErr w:type="spellEnd"/>
            <w:r>
              <w:rPr>
                <w:b/>
                <w:sz w:val="20"/>
                <w:lang w:eastAsia="lt-LT"/>
              </w:rPr>
              <w:t>:</w:t>
            </w:r>
          </w:p>
        </w:tc>
        <w:tc>
          <w:tcPr>
            <w:tcW w:w="1984" w:type="dxa"/>
            <w:vAlign w:val="center"/>
          </w:tcPr>
          <w:p w14:paraId="768FCC3D" w14:textId="77777777" w:rsidR="00913FF4" w:rsidRDefault="00A2320C" w:rsidP="00A2320C">
            <w:pPr>
              <w:suppressAutoHyphens/>
              <w:ind w:left="-108"/>
              <w:jc w:val="center"/>
              <w:rPr>
                <w:b/>
                <w:sz w:val="20"/>
                <w:lang w:eastAsia="lt-LT"/>
              </w:rPr>
            </w:pPr>
            <w:r>
              <w:rPr>
                <w:b/>
                <w:sz w:val="20"/>
                <w:lang w:eastAsia="lt-LT"/>
              </w:rPr>
              <w:t xml:space="preserve">Lietuvos Respublikos valstybės  biudžeto lėšos iki, </w:t>
            </w:r>
            <w:proofErr w:type="spellStart"/>
            <w:r>
              <w:rPr>
                <w:b/>
                <w:sz w:val="20"/>
                <w:lang w:eastAsia="lt-LT"/>
              </w:rPr>
              <w:t>Eur</w:t>
            </w:r>
            <w:proofErr w:type="spellEnd"/>
            <w:r>
              <w:rPr>
                <w:b/>
                <w:sz w:val="20"/>
                <w:lang w:eastAsia="lt-LT"/>
              </w:rPr>
              <w:t>:</w:t>
            </w:r>
          </w:p>
        </w:tc>
      </w:tr>
      <w:tr w:rsidR="00913FF4" w14:paraId="768FCC47" w14:textId="77777777">
        <w:tc>
          <w:tcPr>
            <w:tcW w:w="675" w:type="dxa"/>
          </w:tcPr>
          <w:p w14:paraId="768FCC3F" w14:textId="7C587920" w:rsidR="00913FF4" w:rsidRDefault="00A2320C" w:rsidP="00A2320C">
            <w:pPr>
              <w:tabs>
                <w:tab w:val="left" w:pos="0"/>
              </w:tabs>
              <w:suppressAutoHyphens/>
              <w:ind w:left="644" w:hanging="720"/>
              <w:jc w:val="center"/>
              <w:rPr>
                <w:szCs w:val="24"/>
                <w:lang w:eastAsia="lt-LT"/>
              </w:rPr>
            </w:pPr>
            <w:r>
              <w:rPr>
                <w:szCs w:val="24"/>
                <w:lang w:eastAsia="lt-LT"/>
              </w:rPr>
              <w:t>1.</w:t>
            </w:r>
          </w:p>
        </w:tc>
        <w:tc>
          <w:tcPr>
            <w:tcW w:w="1276" w:type="dxa"/>
            <w:vAlign w:val="center"/>
          </w:tcPr>
          <w:p w14:paraId="768FCC40" w14:textId="77777777" w:rsidR="00913FF4" w:rsidRDefault="00A2320C">
            <w:pPr>
              <w:suppressAutoHyphens/>
              <w:rPr>
                <w:szCs w:val="24"/>
                <w:lang w:eastAsia="lt-LT"/>
              </w:rPr>
            </w:pPr>
            <w:r>
              <w:rPr>
                <w:szCs w:val="24"/>
                <w:lang w:eastAsia="lt-LT"/>
              </w:rPr>
              <w:t>05.6.1-APVA-V-020-01-0028</w:t>
            </w:r>
          </w:p>
        </w:tc>
        <w:tc>
          <w:tcPr>
            <w:tcW w:w="1985" w:type="dxa"/>
            <w:shd w:val="clear" w:color="auto" w:fill="FFFFFF"/>
            <w:vAlign w:val="center"/>
          </w:tcPr>
          <w:p w14:paraId="768FCC41" w14:textId="77777777" w:rsidR="00913FF4" w:rsidRDefault="00A2320C">
            <w:pPr>
              <w:suppressAutoHyphens/>
              <w:ind w:right="-108"/>
              <w:rPr>
                <w:szCs w:val="24"/>
                <w:lang w:eastAsia="lt-LT"/>
              </w:rPr>
            </w:pPr>
            <w:r>
              <w:rPr>
                <w:szCs w:val="24"/>
                <w:lang w:eastAsia="lt-LT"/>
              </w:rPr>
              <w:t>Kupiškio rajono savivaldybės administracija</w:t>
            </w:r>
          </w:p>
        </w:tc>
        <w:tc>
          <w:tcPr>
            <w:tcW w:w="1417" w:type="dxa"/>
            <w:vAlign w:val="center"/>
          </w:tcPr>
          <w:p w14:paraId="768FCC42" w14:textId="77777777" w:rsidR="00913FF4" w:rsidRDefault="00A2320C">
            <w:pPr>
              <w:suppressAutoHyphens/>
              <w:ind w:right="-108" w:hanging="108"/>
              <w:jc w:val="center"/>
              <w:rPr>
                <w:szCs w:val="24"/>
                <w:lang w:eastAsia="lt-LT"/>
              </w:rPr>
            </w:pPr>
            <w:r>
              <w:rPr>
                <w:szCs w:val="24"/>
                <w:lang w:eastAsia="lt-LT"/>
              </w:rPr>
              <w:t>188774975</w:t>
            </w:r>
          </w:p>
        </w:tc>
        <w:tc>
          <w:tcPr>
            <w:tcW w:w="3402" w:type="dxa"/>
            <w:vAlign w:val="center"/>
          </w:tcPr>
          <w:p w14:paraId="768FCC43" w14:textId="77777777" w:rsidR="00913FF4" w:rsidRDefault="00A2320C">
            <w:pPr>
              <w:suppressAutoHyphens/>
              <w:ind w:right="-108"/>
              <w:rPr>
                <w:szCs w:val="24"/>
                <w:lang w:eastAsia="lt-LT"/>
              </w:rPr>
            </w:pPr>
            <w:r>
              <w:rPr>
                <w:szCs w:val="24"/>
                <w:lang w:eastAsia="lt-LT"/>
              </w:rPr>
              <w:t xml:space="preserve">Buvusios naftos bazės teritorijos Kupiškio r. sav., </w:t>
            </w:r>
            <w:proofErr w:type="spellStart"/>
            <w:r>
              <w:rPr>
                <w:szCs w:val="24"/>
                <w:lang w:eastAsia="lt-LT"/>
              </w:rPr>
              <w:t>Noriūnų</w:t>
            </w:r>
            <w:proofErr w:type="spellEnd"/>
            <w:r>
              <w:rPr>
                <w:szCs w:val="24"/>
                <w:lang w:eastAsia="lt-LT"/>
              </w:rPr>
              <w:t xml:space="preserve"> sen., </w:t>
            </w:r>
            <w:proofErr w:type="spellStart"/>
            <w:r>
              <w:rPr>
                <w:szCs w:val="24"/>
                <w:lang w:eastAsia="lt-LT"/>
              </w:rPr>
              <w:t>Rudilių</w:t>
            </w:r>
            <w:proofErr w:type="spellEnd"/>
            <w:r>
              <w:rPr>
                <w:szCs w:val="24"/>
                <w:lang w:eastAsia="lt-LT"/>
              </w:rPr>
              <w:t xml:space="preserve"> k., sutvarkymas</w:t>
            </w:r>
          </w:p>
        </w:tc>
        <w:tc>
          <w:tcPr>
            <w:tcW w:w="1701" w:type="dxa"/>
            <w:vAlign w:val="center"/>
          </w:tcPr>
          <w:p w14:paraId="768FCC44" w14:textId="77777777" w:rsidR="00913FF4" w:rsidRDefault="00A2320C">
            <w:pPr>
              <w:suppressAutoHyphens/>
              <w:jc w:val="center"/>
              <w:rPr>
                <w:szCs w:val="24"/>
                <w:lang w:eastAsia="lt-LT"/>
              </w:rPr>
            </w:pPr>
            <w:r>
              <w:rPr>
                <w:color w:val="000000"/>
                <w:szCs w:val="24"/>
                <w:lang w:eastAsia="lt-LT"/>
              </w:rPr>
              <w:t>74 013,43</w:t>
            </w:r>
          </w:p>
        </w:tc>
        <w:tc>
          <w:tcPr>
            <w:tcW w:w="1843" w:type="dxa"/>
            <w:vAlign w:val="center"/>
          </w:tcPr>
          <w:p w14:paraId="768FCC45" w14:textId="77777777" w:rsidR="00913FF4" w:rsidRDefault="00A2320C">
            <w:pPr>
              <w:suppressAutoHyphens/>
              <w:jc w:val="center"/>
              <w:rPr>
                <w:szCs w:val="24"/>
                <w:lang w:eastAsia="lt-LT"/>
              </w:rPr>
            </w:pPr>
            <w:r>
              <w:rPr>
                <w:color w:val="000000"/>
                <w:szCs w:val="24"/>
                <w:lang w:eastAsia="lt-LT"/>
              </w:rPr>
              <w:t>74 013,43</w:t>
            </w:r>
          </w:p>
        </w:tc>
        <w:tc>
          <w:tcPr>
            <w:tcW w:w="1984" w:type="dxa"/>
            <w:vAlign w:val="center"/>
          </w:tcPr>
          <w:p w14:paraId="768FCC46" w14:textId="77777777" w:rsidR="00913FF4" w:rsidRDefault="00A2320C">
            <w:pPr>
              <w:suppressAutoHyphens/>
              <w:ind w:left="-108" w:right="-108"/>
              <w:jc w:val="center"/>
              <w:rPr>
                <w:szCs w:val="24"/>
                <w:lang w:eastAsia="lt-LT"/>
              </w:rPr>
            </w:pPr>
            <w:r>
              <w:rPr>
                <w:szCs w:val="24"/>
                <w:lang w:eastAsia="lt-LT"/>
              </w:rPr>
              <w:t>−</w:t>
            </w:r>
          </w:p>
        </w:tc>
      </w:tr>
    </w:tbl>
    <w:p w14:paraId="768FCC48" w14:textId="77777777" w:rsidR="00913FF4" w:rsidRDefault="00913FF4">
      <w:pPr>
        <w:suppressAutoHyphens/>
        <w:jc w:val="center"/>
        <w:rPr>
          <w:szCs w:val="24"/>
          <w:lang w:eastAsia="lt-LT"/>
        </w:rPr>
      </w:pPr>
    </w:p>
    <w:p w14:paraId="768FCC49" w14:textId="77777777" w:rsidR="00913FF4" w:rsidRDefault="00913FF4">
      <w:pPr>
        <w:suppressAutoHyphens/>
        <w:jc w:val="center"/>
        <w:rPr>
          <w:szCs w:val="24"/>
          <w:lang w:eastAsia="lt-LT"/>
        </w:rPr>
      </w:pPr>
    </w:p>
    <w:p w14:paraId="768FCC4A" w14:textId="77777777" w:rsidR="00913FF4" w:rsidRDefault="00A2320C">
      <w:pPr>
        <w:suppressAutoHyphens/>
        <w:jc w:val="center"/>
        <w:rPr>
          <w:lang w:eastAsia="lt-LT"/>
        </w:rPr>
      </w:pPr>
      <w:r>
        <w:rPr>
          <w:szCs w:val="24"/>
          <w:lang w:eastAsia="lt-LT"/>
        </w:rPr>
        <w:t>__________________________________</w:t>
      </w:r>
      <w:bookmarkStart w:id="0" w:name="_GoBack"/>
      <w:bookmarkEnd w:id="0"/>
      <w:r>
        <w:rPr>
          <w:szCs w:val="24"/>
          <w:lang w:eastAsia="lt-LT"/>
        </w:rPr>
        <w:t>_____</w:t>
      </w:r>
    </w:p>
    <w:p w14:paraId="768FCC4B" w14:textId="1114811E" w:rsidR="00913FF4" w:rsidRDefault="00A2320C"/>
    <w:sectPr w:rsidR="00913FF4">
      <w:pgSz w:w="16838" w:h="11906" w:orient="landscape"/>
      <w:pgMar w:top="851" w:right="567"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FCC50" w14:textId="77777777" w:rsidR="00913FF4" w:rsidRDefault="00A2320C">
      <w:pPr>
        <w:suppressAutoHyphens/>
        <w:rPr>
          <w:lang w:eastAsia="lt-LT"/>
        </w:rPr>
      </w:pPr>
      <w:r>
        <w:rPr>
          <w:lang w:eastAsia="lt-LT"/>
        </w:rPr>
        <w:separator/>
      </w:r>
    </w:p>
  </w:endnote>
  <w:endnote w:type="continuationSeparator" w:id="0">
    <w:p w14:paraId="768FCC51" w14:textId="77777777" w:rsidR="00913FF4" w:rsidRDefault="00A2320C">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FCC55" w14:textId="77777777" w:rsidR="00913FF4" w:rsidRDefault="00913FF4">
    <w:pPr>
      <w:tabs>
        <w:tab w:val="center" w:pos="4819"/>
        <w:tab w:val="right" w:pos="9638"/>
      </w:tabs>
      <w:suppressAutoHyphen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FCC56" w14:textId="77777777" w:rsidR="00913FF4" w:rsidRDefault="00913FF4">
    <w:pPr>
      <w:tabs>
        <w:tab w:val="center" w:pos="4819"/>
        <w:tab w:val="right" w:pos="9638"/>
      </w:tabs>
      <w:suppressAutoHyphen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FCC58" w14:textId="77777777" w:rsidR="00913FF4" w:rsidRDefault="00913FF4">
    <w:pPr>
      <w:tabs>
        <w:tab w:val="center" w:pos="4819"/>
        <w:tab w:val="right" w:pos="9638"/>
      </w:tabs>
      <w:suppressAutoHyphen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FCC4E" w14:textId="77777777" w:rsidR="00913FF4" w:rsidRDefault="00A2320C">
      <w:pPr>
        <w:suppressAutoHyphens/>
        <w:rPr>
          <w:lang w:eastAsia="lt-LT"/>
        </w:rPr>
      </w:pPr>
      <w:r>
        <w:rPr>
          <w:lang w:eastAsia="lt-LT"/>
        </w:rPr>
        <w:separator/>
      </w:r>
    </w:p>
  </w:footnote>
  <w:footnote w:type="continuationSeparator" w:id="0">
    <w:p w14:paraId="768FCC4F" w14:textId="77777777" w:rsidR="00913FF4" w:rsidRDefault="00A2320C">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FCC52" w14:textId="77777777" w:rsidR="00913FF4" w:rsidRDefault="00913FF4">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FCC53" w14:textId="77777777" w:rsidR="00913FF4" w:rsidRDefault="00A2320C">
    <w:pPr>
      <w:tabs>
        <w:tab w:val="center" w:pos="4153"/>
        <w:tab w:val="right" w:pos="9100"/>
      </w:tabs>
      <w:suppressAutoHyphens/>
      <w:jc w:val="center"/>
      <w:rPr>
        <w:rFonts w:ascii="Tahoma" w:hAnsi="Tahoma"/>
        <w:spacing w:val="10"/>
        <w:sz w:val="20"/>
        <w:lang w:eastAsia="lt-LT"/>
      </w:rPr>
    </w:pPr>
    <w:r>
      <w:rPr>
        <w:rFonts w:ascii="Tahoma" w:hAnsi="Tahoma"/>
        <w:spacing w:val="10"/>
        <w:sz w:val="20"/>
        <w:lang w:eastAsia="lt-LT"/>
      </w:rPr>
      <w:fldChar w:fldCharType="begin"/>
    </w:r>
    <w:r>
      <w:rPr>
        <w:rFonts w:ascii="Tahoma" w:hAnsi="Tahoma"/>
        <w:spacing w:val="10"/>
        <w:sz w:val="20"/>
        <w:lang w:eastAsia="lt-LT"/>
      </w:rPr>
      <w:instrText xml:space="preserve"> PAGE   \* MERGEFORMAT </w:instrText>
    </w:r>
    <w:r>
      <w:rPr>
        <w:rFonts w:ascii="Tahoma" w:hAnsi="Tahoma"/>
        <w:spacing w:val="10"/>
        <w:sz w:val="20"/>
        <w:lang w:eastAsia="lt-LT"/>
      </w:rPr>
      <w:fldChar w:fldCharType="separate"/>
    </w:r>
    <w:r>
      <w:rPr>
        <w:rFonts w:ascii="Tahoma" w:hAnsi="Tahoma"/>
        <w:noProof/>
        <w:spacing w:val="10"/>
        <w:sz w:val="20"/>
        <w:lang w:eastAsia="lt-LT"/>
      </w:rPr>
      <w:t>2</w:t>
    </w:r>
    <w:r>
      <w:rPr>
        <w:rFonts w:ascii="Tahoma" w:hAnsi="Tahoma"/>
        <w:spacing w:val="10"/>
        <w:sz w:val="20"/>
        <w:lang w:eastAsia="lt-LT"/>
      </w:rPr>
      <w:fldChar w:fldCharType="end"/>
    </w:r>
  </w:p>
  <w:p w14:paraId="768FCC54" w14:textId="77777777" w:rsidR="00913FF4" w:rsidRDefault="00913FF4">
    <w:pPr>
      <w:tabs>
        <w:tab w:val="left" w:pos="3344"/>
        <w:tab w:val="left" w:pos="8291"/>
      </w:tabs>
      <w:suppressAutoHyphens/>
      <w:spacing w:before="120" w:after="60"/>
      <w:ind w:left="-17" w:firstLine="17"/>
      <w:jc w:val="center"/>
      <w:rPr>
        <w:b/>
        <w:bCs/>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FCC57" w14:textId="77777777" w:rsidR="00913FF4" w:rsidRDefault="00913FF4">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6C"/>
    <w:rsid w:val="00913FF4"/>
    <w:rsid w:val="00A2320C"/>
    <w:rsid w:val="00AA2B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2320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232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69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F8416D90-D84D-4AF7-BBFD-4E8E31C0DB82}"/>
      </w:docPartPr>
      <w:docPartBody>
        <w:p w14:paraId="558AB9F8" w14:textId="2E75055C" w:rsidR="00000000" w:rsidRDefault="00901E57">
          <w:r w:rsidRPr="000C0484">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57"/>
    <w:rsid w:val="00901E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01E5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01E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2624</Words>
  <Characters>1496</Characters>
  <Application>Microsoft Office Word</Application>
  <DocSecurity>0</DocSecurity>
  <Lines>12</Lines>
  <Paragraphs>8</Paragraphs>
  <ScaleCrop>false</ScaleCrop>
  <Company/>
  <LinksUpToDate>false</LinksUpToDate>
  <CharactersWithSpaces>4112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2018-06-05T10:08:00Z</dcterms:created>
  <dc:creator>d.astaseviciute</dc:creator>
  <lastModifiedBy>JUOSPONIENĖ Karolina</lastModifiedBy>
  <dcterms:modified xsi:type="dcterms:W3CDTF">2018-06-05T11:04:00Z</dcterms:modified>
  <revision>3</revision>
</coreProperties>
</file>