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7999c9bf3b14ecb8bd97c89a0e2aa25"/>
        <w:id w:val="453295706"/>
        <w:lock w:val="sdtLocked"/>
      </w:sdtPr>
      <w:sdtEndPr/>
      <w:sdtContent>
        <w:p w14:paraId="1FB45A76" w14:textId="77777777" w:rsidR="00D61749" w:rsidRDefault="002D4CEE">
          <w:pPr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  <w:lang w:eastAsia="zh-CN"/>
            </w:rPr>
          </w:pPr>
          <w:r>
            <w:rPr>
              <w:i/>
              <w:sz w:val="22"/>
              <w:szCs w:val="22"/>
            </w:rPr>
            <w:t>Autentiškas vertimas</w:t>
          </w:r>
        </w:p>
        <w:p w14:paraId="1FB45A77" w14:textId="77777777" w:rsidR="00D61749" w:rsidRDefault="002D4CEE">
          <w:pPr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Vyriausybės kanceliarijos</w:t>
          </w:r>
        </w:p>
        <w:p w14:paraId="1FB45A78" w14:textId="77777777" w:rsidR="00D61749" w:rsidRDefault="002D4CEE">
          <w:pPr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Administracinis departamentas</w:t>
          </w:r>
        </w:p>
        <w:p w14:paraId="1FB45A79" w14:textId="77777777" w:rsidR="00D61749" w:rsidRDefault="002D4CEE">
          <w:pPr>
            <w:tabs>
              <w:tab w:val="center" w:pos="4819"/>
              <w:tab w:val="right" w:pos="9638"/>
            </w:tabs>
            <w:jc w:val="right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2015 04 21</w:t>
          </w:r>
        </w:p>
        <w:p w14:paraId="1FB45A7A" w14:textId="77777777" w:rsidR="00D61749" w:rsidRDefault="00D61749">
          <w:pPr>
            <w:tabs>
              <w:tab w:val="center" w:pos="4819"/>
              <w:tab w:val="right" w:pos="9638"/>
            </w:tabs>
            <w:jc w:val="right"/>
            <w:rPr>
              <w:szCs w:val="24"/>
              <w:lang w:val="en-US"/>
            </w:rPr>
          </w:pPr>
        </w:p>
        <w:p w14:paraId="1FB45A7B" w14:textId="77777777" w:rsidR="00D61749" w:rsidRDefault="00D61749">
          <w:pPr>
            <w:tabs>
              <w:tab w:val="center" w:pos="4819"/>
              <w:tab w:val="right" w:pos="9638"/>
            </w:tabs>
            <w:jc w:val="right"/>
            <w:rPr>
              <w:szCs w:val="24"/>
              <w:lang w:val="en-US"/>
            </w:rPr>
          </w:pPr>
        </w:p>
        <w:p w14:paraId="1FB45A7C" w14:textId="77777777" w:rsidR="00D61749" w:rsidRDefault="002D4CEE">
          <w:pPr>
            <w:spacing w:line="300" w:lineRule="atLeast"/>
            <w:ind w:right="-81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REZOLIUCIJA MEPC.154(55)</w:t>
          </w:r>
        </w:p>
        <w:p w14:paraId="1FB45A7D" w14:textId="77777777" w:rsidR="00D61749" w:rsidRDefault="00D61749">
          <w:pPr>
            <w:rPr>
              <w:sz w:val="10"/>
              <w:szCs w:val="10"/>
            </w:rPr>
          </w:pPr>
        </w:p>
        <w:p w14:paraId="1FB45A7E" w14:textId="77777777" w:rsidR="00D61749" w:rsidRDefault="002D4CEE">
          <w:pPr>
            <w:spacing w:line="300" w:lineRule="atLeast"/>
            <w:ind w:right="-81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(priimta 2006 m. spalio 13 d.) </w:t>
          </w:r>
        </w:p>
        <w:p w14:paraId="1FB45A7F" w14:textId="77777777" w:rsidR="00D61749" w:rsidRDefault="00D61749">
          <w:pPr>
            <w:rPr>
              <w:sz w:val="10"/>
              <w:szCs w:val="10"/>
            </w:rPr>
          </w:pPr>
        </w:p>
        <w:p w14:paraId="1FB45A80" w14:textId="77777777" w:rsidR="00D61749" w:rsidRDefault="002D4CEE">
          <w:pPr>
            <w:spacing w:line="300" w:lineRule="atLeast"/>
            <w:ind w:right="-81"/>
            <w:jc w:val="center"/>
            <w:rPr>
              <w:b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1973 M. TARPTAUTINĖS KONVENCIJOS DĖL</w:t>
          </w:r>
          <w:r>
            <w:rPr>
              <w:b/>
              <w:szCs w:val="24"/>
              <w:lang w:eastAsia="en-GB"/>
            </w:rPr>
            <w:t xml:space="preserve"> TERŠIMO IŠ LAIVŲ PREVENCIJOS 1978 M. PROTOKOLO PRIEDO PAKEITIMAI</w:t>
          </w:r>
        </w:p>
        <w:p w14:paraId="1FB45A81" w14:textId="77777777" w:rsidR="00D61749" w:rsidRDefault="00D61749">
          <w:pPr>
            <w:rPr>
              <w:sz w:val="10"/>
              <w:szCs w:val="10"/>
            </w:rPr>
          </w:pPr>
        </w:p>
        <w:p w14:paraId="1FB45A82" w14:textId="77777777" w:rsidR="00D61749" w:rsidRDefault="002D4CEE">
          <w:pPr>
            <w:spacing w:line="300" w:lineRule="atLeast"/>
            <w:ind w:right="-81"/>
            <w:jc w:val="center"/>
            <w:rPr>
              <w:b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(dėl Specialiosios zonos statuso suteikimo Pietų Afrikos pietinės dalies vandenims)</w:t>
          </w:r>
        </w:p>
        <w:p w14:paraId="1FB45A83" w14:textId="77777777" w:rsidR="00D61749" w:rsidRDefault="00D61749">
          <w:pPr>
            <w:rPr>
              <w:sz w:val="10"/>
              <w:szCs w:val="10"/>
            </w:rPr>
          </w:pPr>
        </w:p>
        <w:p w14:paraId="1FB45A84" w14:textId="77777777" w:rsidR="00D61749" w:rsidRDefault="00D61749">
          <w:pPr>
            <w:spacing w:line="300" w:lineRule="atLeast"/>
            <w:ind w:right="-81"/>
            <w:jc w:val="center"/>
            <w:rPr>
              <w:b/>
              <w:szCs w:val="24"/>
              <w:lang w:eastAsia="en-GB"/>
            </w:rPr>
          </w:pPr>
        </w:p>
        <w:p w14:paraId="1FB45A85" w14:textId="77777777" w:rsidR="00D61749" w:rsidRDefault="00D61749">
          <w:pPr>
            <w:rPr>
              <w:sz w:val="10"/>
              <w:szCs w:val="10"/>
            </w:rPr>
          </w:pPr>
        </w:p>
        <w:sdt>
          <w:sdtPr>
            <w:rPr>
              <w:szCs w:val="24"/>
              <w:lang w:eastAsia="en-GB"/>
            </w:rPr>
            <w:alias w:val="preambule"/>
            <w:tag w:val="part_d98d2bfc0cb44787b13baeb53ad98f7e"/>
            <w:id w:val="-1179350710"/>
            <w:lock w:val="sdtLocked"/>
            <w:placeholder>
              <w:docPart w:val="DefaultPlaceholder_1082065158"/>
            </w:placeholder>
          </w:sdtPr>
          <w:sdtEndPr>
            <w:rPr>
              <w:szCs w:val="20"/>
              <w:lang w:eastAsia="en-US"/>
            </w:rPr>
          </w:sdtEndPr>
          <w:sdtContent>
            <w:p w14:paraId="1FB45A86" w14:textId="1BC482CC" w:rsidR="00D61749" w:rsidRDefault="002D4CEE">
              <w:pPr>
                <w:tabs>
                  <w:tab w:val="left" w:pos="567"/>
                </w:tabs>
                <w:spacing w:line="300" w:lineRule="atLeast"/>
                <w:ind w:right="-81" w:firstLine="567"/>
                <w:jc w:val="both"/>
                <w:rPr>
                  <w:szCs w:val="24"/>
                  <w:lang w:eastAsia="en-GB"/>
                </w:rPr>
              </w:pPr>
              <w:r>
                <w:rPr>
                  <w:szCs w:val="24"/>
                  <w:lang w:eastAsia="en-GB"/>
                </w:rPr>
                <w:t xml:space="preserve">JŪRŲ APLINKOS APSAUGOS KOMITETAS, </w:t>
              </w:r>
            </w:p>
            <w:p w14:paraId="1FB45A87" w14:textId="3B6E73E7" w:rsidR="00D61749" w:rsidRDefault="00D61749">
              <w:pPr>
                <w:rPr>
                  <w:sz w:val="10"/>
                  <w:szCs w:val="10"/>
                </w:rPr>
              </w:pPr>
            </w:p>
            <w:p w14:paraId="1FB45A88" w14:textId="662952EB" w:rsidR="00D61749" w:rsidRDefault="002D4CEE">
              <w:pPr>
                <w:ind w:firstLine="567"/>
                <w:jc w:val="both"/>
                <w:rPr>
                  <w:szCs w:val="24"/>
                </w:rPr>
              </w:pPr>
              <w:r>
                <w:rPr>
                  <w:i/>
                  <w:iCs/>
                  <w:szCs w:val="24"/>
                </w:rPr>
                <w:t>prisimindamas</w:t>
              </w:r>
              <w:r>
                <w:rPr>
                  <w:szCs w:val="24"/>
                </w:rPr>
                <w:t xml:space="preserve"> Tarptautinės jūrų organizacijos konvencijos 38 straipsnio a punktą dėl Jūros aplinkos apsaugos komiteto (toliau – Komitetas) funkcijų, kurios jam priskirtos vadovaujantis tarptautinėmis konvencijomis dėl jūrų taršos iš laivų prevencijos ir kontrolės; </w:t>
              </w:r>
            </w:p>
            <w:p w14:paraId="1FB45A89" w14:textId="77777777" w:rsidR="00D61749" w:rsidRDefault="00D61749">
              <w:pPr>
                <w:rPr>
                  <w:sz w:val="10"/>
                  <w:szCs w:val="10"/>
                </w:rPr>
              </w:pPr>
            </w:p>
            <w:p w14:paraId="1FB45A8A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r>
                <w:rPr>
                  <w:i/>
                  <w:iCs/>
                  <w:szCs w:val="24"/>
                </w:rPr>
                <w:t>pa</w:t>
              </w:r>
              <w:r>
                <w:rPr>
                  <w:i/>
                  <w:iCs/>
                  <w:szCs w:val="24"/>
                </w:rPr>
                <w:t xml:space="preserve">brėždamas </w:t>
              </w:r>
              <w:r>
                <w:rPr>
                  <w:szCs w:val="24"/>
                </w:rPr>
                <w:t>1973 m. Tarptautinės konvencijos dėl teršimo iš laivų prevencijos (toliau – 1973 m. Konvencija) 16 straipsnį ir 1973 m. Tarptautinės konvencijos dėl teršimo iš laivų prevencijos 1978 m. Protokolo (toliau – 1978 m. Protokolas) VI straipsnį, kuriuo</w:t>
              </w:r>
              <w:r>
                <w:rPr>
                  <w:szCs w:val="24"/>
                </w:rPr>
                <w:t>se nustatyta 1978 m. protokolo pakeitimų tvarka ir atitinkamam Organizacijos padaliniui pavedama svarstyti ir priimti 1973 m. Konvencijos su pakeitimais, padarytais 1978 m. Protokolu (toliau – MARPOL 73/78), pakeitimus;</w:t>
              </w:r>
            </w:p>
            <w:p w14:paraId="1FB45A8B" w14:textId="77777777" w:rsidR="00D61749" w:rsidRDefault="00D61749">
              <w:pPr>
                <w:rPr>
                  <w:sz w:val="10"/>
                  <w:szCs w:val="10"/>
                </w:rPr>
              </w:pPr>
            </w:p>
            <w:p w14:paraId="1FB45A8C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r>
                <w:rPr>
                  <w:i/>
                  <w:szCs w:val="24"/>
                </w:rPr>
                <w:t>apsvarstęs</w:t>
              </w:r>
              <w:r>
                <w:rPr>
                  <w:szCs w:val="24"/>
                </w:rPr>
                <w:t xml:space="preserve"> naujos redakcijos MARPOL</w:t>
              </w:r>
              <w:r>
                <w:rPr>
                  <w:szCs w:val="24"/>
                </w:rPr>
                <w:t xml:space="preserve"> 73/78 I priedo 1 taisyklės pakeitimų projektą, kuriuo siekiama Pietų Afrikos pietiniams vandenims suteikti specialiosios zonos statusą,</w:t>
              </w:r>
            </w:p>
            <w:p w14:paraId="1FB45A8D" w14:textId="31821340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1 p."/>
            <w:tag w:val="part_823ec0ab6c9548d199a1a0c73f290005"/>
            <w:id w:val="-1394423914"/>
            <w:lock w:val="sdtLocked"/>
          </w:sdtPr>
          <w:sdtEndPr/>
          <w:sdtContent>
            <w:p w14:paraId="1FB45A8E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823ec0ab6c9548d199a1a0c73f290005"/>
                  <w:id w:val="156066443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i/>
                  <w:szCs w:val="24"/>
                </w:rPr>
                <w:t>priima</w:t>
              </w:r>
              <w:r>
                <w:rPr>
                  <w:szCs w:val="24"/>
                </w:rPr>
                <w:t>, vadovaudamasis 1973 m. Konvencijos 16 straipsnio 2 dalies d punktu, MARPOL 73/78 IV pakeitimus, kurių t</w:t>
              </w:r>
              <w:r>
                <w:rPr>
                  <w:szCs w:val="24"/>
                </w:rPr>
                <w:t>ekstas pateiktas šios Rezoliucijos priede;</w:t>
              </w:r>
            </w:p>
            <w:p w14:paraId="1FB45A8F" w14:textId="77777777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2 p."/>
            <w:tag w:val="part_e2c94e262d194e2bb96b8d6f7e0e730e"/>
            <w:id w:val="527292263"/>
            <w:lock w:val="sdtLocked"/>
          </w:sdtPr>
          <w:sdtEndPr/>
          <w:sdtContent>
            <w:p w14:paraId="1FB45A90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e2c94e262d194e2bb96b8d6f7e0e730e"/>
                  <w:id w:val="664826264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i/>
                  <w:szCs w:val="24"/>
                </w:rPr>
                <w:t>nustato</w:t>
              </w:r>
              <w:r>
                <w:rPr>
                  <w:szCs w:val="24"/>
                </w:rPr>
                <w:t xml:space="preserve">, vadovaudamasis 1973 m. Konvencijos 16 straipsnio 2 dalies f punkto iii papunkčiu, kad IV priedo pakeitimai laikomi priimtais 2007 m. rugsėjo 1 d., nebent iki tos dienos ne mažiau kaip trečdalis </w:t>
              </w:r>
              <w:r>
                <w:rPr>
                  <w:szCs w:val="24"/>
                </w:rPr>
                <w:t>Konvencijos šalių arba Šalys, kurių prekybos laivynai kartu sudaro ne mažiau kaip 50 proc. bendrosios pasaulio prekybos laivyno talpos, būtų pranešusios Organizacijai, kad jos prieštarauja šiems pakeitimams;</w:t>
              </w:r>
            </w:p>
            <w:p w14:paraId="1FB45A91" w14:textId="77777777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3 p."/>
            <w:tag w:val="part_45b01f0e927548cbbc41865ab1cf035b"/>
            <w:id w:val="1698437722"/>
            <w:lock w:val="sdtLocked"/>
          </w:sdtPr>
          <w:sdtEndPr/>
          <w:sdtContent>
            <w:p w14:paraId="1FB45A92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45b01f0e927548cbbc41865ab1cf035b"/>
                  <w:id w:val="-7952662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i/>
                  <w:szCs w:val="24"/>
                </w:rPr>
                <w:t>atkreipia</w:t>
              </w:r>
              <w:r>
                <w:rPr>
                  <w:szCs w:val="24"/>
                </w:rPr>
                <w:t xml:space="preserve"> Konvencijos šalių dėmesį, kad </w:t>
              </w:r>
              <w:r>
                <w:rPr>
                  <w:szCs w:val="24"/>
                </w:rPr>
                <w:t>vadovaujantis 1973 m. Konvencijos 16 straipsnio 2 dalies g punkto ii papunkčio nuostatomis, minėti pakeitimai įsigalioja 2008 m. kovo 1 d., priėmus juos pagal pirmiau išdėstytą 2 dalį;</w:t>
              </w:r>
            </w:p>
            <w:p w14:paraId="1FB45A93" w14:textId="77777777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4 p."/>
            <w:tag w:val="part_1d9575464edf4a4b9bacfcb01c504603"/>
            <w:id w:val="2062829917"/>
            <w:lock w:val="sdtLocked"/>
          </w:sdtPr>
          <w:sdtEndPr/>
          <w:sdtContent>
            <w:p w14:paraId="1FB45A94" w14:textId="77777777" w:rsidR="00D61749" w:rsidRDefault="002D4CEE">
              <w:pPr>
                <w:ind w:firstLine="567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d9575464edf4a4b9bacfcb01c504603"/>
                  <w:id w:val="1296262396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4</w:t>
                  </w:r>
                </w:sdtContent>
              </w:sdt>
              <w:r>
                <w:rPr>
                  <w:szCs w:val="24"/>
                </w:rPr>
                <w:t xml:space="preserve">. </w:t>
              </w:r>
              <w:r>
                <w:rPr>
                  <w:i/>
                  <w:iCs/>
                  <w:szCs w:val="24"/>
                </w:rPr>
                <w:t>prašo</w:t>
              </w:r>
              <w:r>
                <w:rPr>
                  <w:szCs w:val="24"/>
                </w:rPr>
                <w:t xml:space="preserve"> Generalinio sekretoriaus perduoti, vadovaujantis 1973 m. </w:t>
              </w:r>
              <w:r>
                <w:rPr>
                  <w:szCs w:val="24"/>
                </w:rPr>
                <w:t xml:space="preserve">Konvencijos 16 straipsnio 2 dalies e punkto nuostata, visoms MARPOL 73/78 Šalims patvirtintas šios Rezoliucijos kopijas ir jos Priede pateiktų pakeitimų tekstą,  </w:t>
              </w:r>
            </w:p>
            <w:p w14:paraId="1FB45A95" w14:textId="77777777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alias w:val="5 p."/>
            <w:tag w:val="part_c5c481faa75747479ecb26d0d3067e28"/>
            <w:id w:val="-107818842"/>
            <w:lock w:val="sdtLocked"/>
            <w:placeholder>
              <w:docPart w:val="DefaultPlaceholder_1082065158"/>
            </w:placeholder>
          </w:sdtPr>
          <w:sdtEndPr>
            <w:rPr>
              <w:sz w:val="10"/>
              <w:szCs w:val="10"/>
            </w:rPr>
          </w:sdtEndPr>
          <w:sdtContent>
            <w:p w14:paraId="1FB45A96" w14:textId="28CA87D6" w:rsidR="00D61749" w:rsidRDefault="002D4CEE">
              <w:pPr>
                <w:spacing w:line="300" w:lineRule="atLeast"/>
                <w:ind w:right="-81" w:firstLine="540"/>
                <w:jc w:val="both"/>
                <w:rPr>
                  <w:szCs w:val="24"/>
                  <w:lang w:eastAsia="en-GB"/>
                </w:rPr>
              </w:pPr>
              <w:sdt>
                <w:sdtPr>
                  <w:alias w:val="Numeris"/>
                  <w:tag w:val="nr_c5c481faa75747479ecb26d0d3067e28"/>
                  <w:id w:val="-820119898"/>
                  <w:lock w:val="sdtLocked"/>
                </w:sdtPr>
                <w:sdtEndPr/>
                <w:sdtContent>
                  <w:r>
                    <w:rPr>
                      <w:szCs w:val="24"/>
                      <w:lang w:eastAsia="en-GB"/>
                    </w:rPr>
                    <w:t>5</w:t>
                  </w:r>
                </w:sdtContent>
              </w:sdt>
              <w:r>
                <w:rPr>
                  <w:szCs w:val="24"/>
                  <w:lang w:eastAsia="en-GB"/>
                </w:rPr>
                <w:t xml:space="preserve">. </w:t>
              </w:r>
              <w:r>
                <w:rPr>
                  <w:i/>
                  <w:iCs/>
                  <w:szCs w:val="24"/>
                  <w:lang w:eastAsia="en-GB"/>
                </w:rPr>
                <w:t>prašo</w:t>
              </w:r>
              <w:r>
                <w:rPr>
                  <w:szCs w:val="24"/>
                  <w:lang w:eastAsia="en-GB"/>
                </w:rPr>
                <w:t xml:space="preserve"> Generalinio sekretoriaus perduoti šios Rezoliucijos ir jos Priedo kopijas Organ</w:t>
              </w:r>
              <w:r>
                <w:rPr>
                  <w:szCs w:val="24"/>
                  <w:lang w:eastAsia="en-GB"/>
                </w:rPr>
                <w:t>izacijos narėms, kurios nėra MARPOL 73/78 Šalys.</w:t>
              </w:r>
            </w:p>
            <w:p w14:paraId="1FB45A97" w14:textId="6D314E0E" w:rsidR="00D61749" w:rsidRDefault="002D4CEE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szCs w:val="24"/>
            </w:rPr>
            <w:alias w:val="priedas"/>
            <w:tag w:val="part_12c0ad0082da4ac8b3afb181a5dd3e35"/>
            <w:id w:val="-1597620719"/>
            <w:lock w:val="sdtLocked"/>
            <w:placeholder>
              <w:docPart w:val="DefaultPlaceholder_1082065158"/>
            </w:placeholder>
          </w:sdtPr>
          <w:sdtEndPr>
            <w:rPr>
              <w:szCs w:val="20"/>
            </w:rPr>
          </w:sdtEndPr>
          <w:sdtContent>
            <w:bookmarkStart w:id="0" w:name="_GoBack" w:displacedByCustomXml="prev"/>
            <w:p w14:paraId="1FB45A98" w14:textId="303084CF" w:rsidR="00D61749" w:rsidRDefault="002D4CEE">
              <w:pPr>
                <w:jc w:val="center"/>
                <w:rPr>
                  <w:szCs w:val="24"/>
                </w:rPr>
              </w:pPr>
              <w:r>
                <w:rPr>
                  <w:szCs w:val="24"/>
                </w:rPr>
                <w:br w:type="page"/>
              </w:r>
              <w:r>
                <w:rPr>
                  <w:szCs w:val="24"/>
                </w:rPr>
                <w:lastRenderedPageBreak/>
                <w:t>PRIEDAS</w:t>
              </w:r>
            </w:p>
            <w:p w14:paraId="1FB45A99" w14:textId="547B918D" w:rsidR="00D61749" w:rsidRDefault="00D61749">
              <w:pPr>
                <w:jc w:val="center"/>
                <w:rPr>
                  <w:szCs w:val="24"/>
                </w:rPr>
              </w:pPr>
            </w:p>
            <w:p w14:paraId="1FB45A9A" w14:textId="43C05C22" w:rsidR="00D61749" w:rsidRDefault="002D4CEE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NAUJOS REDAKCIJOS MARPOL 73/78 I PRIEDO PAKEITIMAI</w:t>
              </w:r>
            </w:p>
            <w:p w14:paraId="1FB45A9B" w14:textId="459B6DC7" w:rsidR="00D61749" w:rsidRDefault="00D61749">
              <w:pPr>
                <w:jc w:val="center"/>
                <w:rPr>
                  <w:b/>
                  <w:szCs w:val="24"/>
                </w:rPr>
              </w:pPr>
            </w:p>
            <w:p w14:paraId="1FB45A9C" w14:textId="3F53F885" w:rsidR="00D61749" w:rsidRDefault="002D4CEE">
              <w:pPr>
                <w:jc w:val="center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(dėl specialiosios zonos statuso suteikimo Pietų Afrikos pietinės dalies vandenims)</w:t>
              </w:r>
            </w:p>
            <w:p w14:paraId="1FB45A9D" w14:textId="77777777" w:rsidR="00D61749" w:rsidRDefault="00D61749">
              <w:pPr>
                <w:jc w:val="both"/>
                <w:rPr>
                  <w:b/>
                  <w:szCs w:val="24"/>
                </w:rPr>
              </w:pPr>
            </w:p>
            <w:p w14:paraId="1FB45A9E" w14:textId="77777777" w:rsidR="00D61749" w:rsidRDefault="002D4CEE"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1 taisyklės 11 punktas papildomas nauju 10 </w:t>
              </w:r>
              <w:r>
                <w:rPr>
                  <w:szCs w:val="24"/>
                </w:rPr>
                <w:t>papunkčiu, kuris išdėstomas taip:</w:t>
              </w:r>
            </w:p>
            <w:p w14:paraId="1FB45A9F" w14:textId="77777777" w:rsidR="00D61749" w:rsidRDefault="00D61749">
              <w:pPr>
                <w:jc w:val="both"/>
                <w:rPr>
                  <w:szCs w:val="24"/>
                </w:rPr>
              </w:pPr>
            </w:p>
            <w:p w14:paraId="1FB45AA0" w14:textId="77777777" w:rsidR="00D61749" w:rsidRDefault="002D4CEE"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„10) </w:t>
              </w:r>
              <w:r>
                <w:rPr>
                  <w:i/>
                  <w:szCs w:val="24"/>
                </w:rPr>
                <w:t>Pietų Afrikos pietinės dalies vandenys</w:t>
              </w:r>
              <w:r>
                <w:rPr>
                  <w:szCs w:val="24"/>
                </w:rPr>
                <w:t xml:space="preserve"> reiškia jūros teritoriją, esančią tarp šių koordinačių: </w:t>
              </w:r>
            </w:p>
            <w:p w14:paraId="1FB45AA1" w14:textId="77777777" w:rsidR="00D61749" w:rsidRDefault="00D61749">
              <w:pPr>
                <w:jc w:val="center"/>
                <w:rPr>
                  <w:b/>
                  <w:szCs w:val="24"/>
                </w:rPr>
              </w:pPr>
            </w:p>
            <w:p w14:paraId="1FB45AA2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31° 14΄ P; 017° 50΄ R</w:t>
              </w:r>
            </w:p>
            <w:p w14:paraId="1FB45AA3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31° 30΄ P; 017° 12΄ R</w:t>
              </w:r>
            </w:p>
            <w:p w14:paraId="1FB45AA4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32° 00΄ P; 017° 06΄ R</w:t>
              </w:r>
            </w:p>
            <w:p w14:paraId="1FB45AA5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32° 32΄ P; 016° 52΄ R</w:t>
              </w:r>
            </w:p>
            <w:p w14:paraId="1FB45AA6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34° 06΄ P; 017° 24΄ R</w:t>
              </w:r>
            </w:p>
            <w:p w14:paraId="1FB45AA7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36° 58΄ P</w:t>
              </w:r>
              <w:r>
                <w:rPr>
                  <w:szCs w:val="24"/>
                </w:rPr>
                <w:t>; 020° 54΄ R</w:t>
              </w:r>
            </w:p>
            <w:p w14:paraId="1FB45AA8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36° 00΄ P; 022° 30΄ R</w:t>
              </w:r>
            </w:p>
            <w:p w14:paraId="1FB45AA9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35° 14΄ P; 022° 54΄ R</w:t>
              </w:r>
            </w:p>
            <w:p w14:paraId="1FB45AAA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34° 30΄ P; 026° 00΄ R</w:t>
              </w:r>
            </w:p>
            <w:p w14:paraId="1FB45AAB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33° 48΄ P; 027° 25΄ R</w:t>
              </w:r>
            </w:p>
            <w:p w14:paraId="1FB45AAC" w14:textId="77777777" w:rsidR="00D61749" w:rsidRDefault="002D4CEE">
              <w:pPr>
                <w:tabs>
                  <w:tab w:val="left" w:pos="2880"/>
                  <w:tab w:val="left" w:pos="3060"/>
                  <w:tab w:val="left" w:pos="3240"/>
                  <w:tab w:val="left" w:pos="3420"/>
                  <w:tab w:val="left" w:pos="3600"/>
                  <w:tab w:val="left" w:pos="4320"/>
                  <w:tab w:val="left" w:pos="5040"/>
                </w:tabs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33° 27΄ P; 027°12΄ R”</w:t>
              </w:r>
            </w:p>
            <w:p w14:paraId="1FB45AAD" w14:textId="2F7890B3" w:rsidR="00D61749" w:rsidRDefault="002D4CEE">
              <w:pPr>
                <w:rPr>
                  <w:b/>
                  <w:szCs w:val="24"/>
                </w:rPr>
              </w:pPr>
            </w:p>
            <w:bookmarkEnd w:id="0" w:displacedByCustomXml="next"/>
          </w:sdtContent>
        </w:sdt>
      </w:sdtContent>
    </w:sdt>
    <w:sectPr w:rsidR="00D6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5AB0" w14:textId="77777777" w:rsidR="00D61749" w:rsidRDefault="002D4CE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1FB45AB1" w14:textId="77777777" w:rsidR="00D61749" w:rsidRDefault="002D4CE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4" w14:textId="77777777" w:rsidR="00D61749" w:rsidRDefault="00D6174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5" w14:textId="77777777" w:rsidR="00D61749" w:rsidRDefault="00D6174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7" w14:textId="77777777" w:rsidR="00D61749" w:rsidRDefault="00D6174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5AAE" w14:textId="77777777" w:rsidR="00D61749" w:rsidRDefault="002D4CE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1FB45AAF" w14:textId="77777777" w:rsidR="00D61749" w:rsidRDefault="002D4CE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2" w14:textId="77777777" w:rsidR="00D61749" w:rsidRDefault="00D61749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3" w14:textId="77777777" w:rsidR="00D61749" w:rsidRDefault="002D4CEE">
    <w:pPr>
      <w:tabs>
        <w:tab w:val="center" w:pos="4819"/>
        <w:tab w:val="right" w:pos="9638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>PAGE   \* MERGEFORMAT</w:instrText>
    </w:r>
    <w:r>
      <w:rPr>
        <w:sz w:val="22"/>
        <w:szCs w:val="22"/>
        <w:lang w:val="en-US"/>
      </w:rPr>
      <w:fldChar w:fldCharType="separate"/>
    </w:r>
    <w:r w:rsidRPr="002D4CEE">
      <w:rPr>
        <w:noProof/>
        <w:sz w:val="22"/>
        <w:szCs w:val="22"/>
      </w:rPr>
      <w:t>2</w:t>
    </w:r>
    <w:r>
      <w:rPr>
        <w:sz w:val="22"/>
        <w:szCs w:val="2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5AB6" w14:textId="77777777" w:rsidR="00D61749" w:rsidRDefault="00D61749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3C"/>
    <w:rsid w:val="000E3B3C"/>
    <w:rsid w:val="002D4CEE"/>
    <w:rsid w:val="00D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4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D4C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D4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4"/>
    <w:rsid w:val="000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49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4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80194e5fa6474c69b8b2fca9a84a2b50" PartId="a7999c9bf3b14ecb8bd97c89a0e2aa25">
    <Part Type="preambule" DocPartId="627e2f97df6a4d5b9af684fcf1c01258" PartId="d98d2bfc0cb44787b13baeb53ad98f7e"/>
    <Part Type="punktas" Nr="1" Abbr="1 p." DocPartId="efe456a1bf444d3ab3642aae9936537f" PartId="823ec0ab6c9548d199a1a0c73f290005"/>
    <Part Type="punktas" Nr="2" Abbr="2 p." DocPartId="116519cfba924da792ea829260166763" PartId="e2c94e262d194e2bb96b8d6f7e0e730e"/>
    <Part Type="punktas" Nr="3" Abbr="3 p." DocPartId="c15a7ea5b85e4ba4af48e703cab5d836" PartId="45b01f0e927548cbbc41865ab1cf035b"/>
    <Part Type="punktas" Nr="4" Abbr="4 p." DocPartId="eab7faa5c127430b9df5f758d6740e19" PartId="1d9575464edf4a4b9bacfcb01c504603"/>
    <Part Type="punktas" Nr="5" Abbr="5 p." DocPartId="ffd9420c50c7404d96b106bd0b308632" PartId="c5c481faa75747479ecb26d0d3067e28"/>
    <Part Type="priedas" Nr="" Abbr="" Title="" Notes="" DocPartId="5a18e67a18e140799bf6c55a9d9753a8" PartId="12c0ad0082da4ac8b3afb181a5dd3e35"/>
  </Part>
</Parts>
</file>

<file path=customXml/itemProps1.xml><?xml version="1.0" encoding="utf-8"?>
<ds:datastoreItem xmlns:ds="http://schemas.openxmlformats.org/officeDocument/2006/customXml" ds:itemID="{61009B83-EE0C-4543-91C3-D4D6CF42038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11 PRIEDAS</vt:lpstr>
      <vt:lpstr>11 PRIEDAS</vt:lpstr>
    </vt:vector>
  </TitlesOfParts>
  <Company>Hewlett-Packard Company</Company>
  <LinksUpToDate>false</LinksUpToDate>
  <CharactersWithSpaces>3054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PRIEDAS</dc:title>
  <dc:creator>Dell</dc:creator>
  <cp:lastModifiedBy>TRAPINSKIENĖ Aušrinė</cp:lastModifiedBy>
  <cp:revision>3</cp:revision>
  <cp:lastPrinted>2015-04-21T10:25:00Z</cp:lastPrinted>
  <dcterms:created xsi:type="dcterms:W3CDTF">2015-05-29T08:48:00Z</dcterms:created>
  <dcterms:modified xsi:type="dcterms:W3CDTF">2015-05-29T09:06:00Z</dcterms:modified>
</cp:coreProperties>
</file>