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C598" w14:textId="77777777" w:rsidR="00751AAF" w:rsidRDefault="00751AAF">
      <w:pPr>
        <w:widowControl w:val="0"/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szCs w:val="24"/>
          <w:lang w:eastAsia="lt-LT"/>
        </w:rPr>
      </w:pPr>
    </w:p>
    <w:p w14:paraId="3831C599" w14:textId="77777777" w:rsidR="00751AAF" w:rsidRDefault="00AF3A17">
      <w:pPr>
        <w:jc w:val="center"/>
        <w:rPr>
          <w:szCs w:val="24"/>
          <w:lang w:eastAsia="lt-LT"/>
        </w:rPr>
      </w:pPr>
      <w:r>
        <w:rPr>
          <w:rFonts w:ascii="Arial" w:hAnsi="Arial" w:cs="Arial"/>
          <w:caps/>
          <w:noProof/>
          <w:sz w:val="20"/>
          <w:szCs w:val="24"/>
          <w:lang w:eastAsia="lt-LT"/>
        </w:rPr>
        <w:drawing>
          <wp:inline distT="0" distB="0" distL="0" distR="0" wp14:anchorId="3831C5AE" wp14:editId="3831C5AF">
            <wp:extent cx="542925" cy="6000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1C59A" w14:textId="77777777" w:rsidR="00751AAF" w:rsidRDefault="00751AAF">
      <w:pPr>
        <w:jc w:val="center"/>
        <w:rPr>
          <w:szCs w:val="24"/>
          <w:lang w:eastAsia="lt-LT"/>
        </w:rPr>
      </w:pPr>
      <w:bookmarkStart w:id="0" w:name="_GoBack"/>
      <w:bookmarkEnd w:id="0"/>
    </w:p>
    <w:p w14:paraId="3831C59B" w14:textId="77777777" w:rsidR="00751AAF" w:rsidRPr="00AF3A17" w:rsidRDefault="00AF3A17">
      <w:pPr>
        <w:jc w:val="center"/>
        <w:rPr>
          <w:b/>
          <w:szCs w:val="24"/>
          <w:lang w:eastAsia="lt-LT"/>
        </w:rPr>
      </w:pPr>
      <w:r w:rsidRPr="00AF3A17">
        <w:rPr>
          <w:b/>
          <w:szCs w:val="24"/>
          <w:lang w:eastAsia="lt-LT"/>
        </w:rPr>
        <w:t>LIETUVOS RESPUBLIKOS ENERGETIKOS MINISTRAS</w:t>
      </w:r>
    </w:p>
    <w:p w14:paraId="3831C59C" w14:textId="77777777" w:rsidR="00751AAF" w:rsidRDefault="00751AAF">
      <w:pPr>
        <w:jc w:val="center"/>
        <w:rPr>
          <w:szCs w:val="24"/>
          <w:lang w:eastAsia="lt-LT"/>
        </w:rPr>
      </w:pPr>
    </w:p>
    <w:p w14:paraId="3831C59D" w14:textId="77777777" w:rsidR="00751AAF" w:rsidRDefault="00AF3A17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3831C59E" w14:textId="77777777" w:rsidR="00751AAF" w:rsidRDefault="00AF3A1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ENERGETIKOS MINISTRO 2010 M. BALANDŽIO 19 D. ĮSAKYMO NR. 1-121 „DĖL LAIKINO ELEKTROS ENERGIJOS PERSIUNTIMO NUTRAUKIMO SIEKIANT UŽTIKRINTI VISUOMENĖS INTERESUS SĄLYGŲ IR SU </w:t>
      </w:r>
      <w:r>
        <w:rPr>
          <w:b/>
          <w:szCs w:val="24"/>
          <w:lang w:eastAsia="lt-LT"/>
        </w:rPr>
        <w:t>TUO SUSIJUSIŲ NUOSTOLIŲ APSKAIČIAVIMO IR ATLYGINIMO TVARKOS APRAŠO PATVIRTINIMO“ PAKEITIMO</w:t>
      </w:r>
    </w:p>
    <w:p w14:paraId="3831C59F" w14:textId="77777777" w:rsidR="00751AAF" w:rsidRDefault="00751AAF">
      <w:pPr>
        <w:jc w:val="center"/>
        <w:rPr>
          <w:szCs w:val="24"/>
          <w:lang w:eastAsia="lt-LT"/>
        </w:rPr>
      </w:pPr>
    </w:p>
    <w:p w14:paraId="3831C5A0" w14:textId="77777777" w:rsidR="00751AAF" w:rsidRDefault="00AF3A1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2016 m. kovo 1 d. Nr. 1-65</w:t>
      </w:r>
    </w:p>
    <w:p w14:paraId="3831C5A1" w14:textId="77777777" w:rsidR="00751AAF" w:rsidRDefault="00AF3A1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3831C5A2" w14:textId="77777777" w:rsidR="00751AAF" w:rsidRDefault="00751AAF">
      <w:pPr>
        <w:jc w:val="center"/>
        <w:rPr>
          <w:szCs w:val="24"/>
          <w:lang w:eastAsia="lt-LT"/>
        </w:rPr>
      </w:pPr>
    </w:p>
    <w:p w14:paraId="3831C5A3" w14:textId="77777777" w:rsidR="00751AAF" w:rsidRDefault="00AF3A1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Pakeičiu Laikino elektros energijos persiuntimo nutraukimo siekiant užtikrinti visuomenės interesus sąlygas ir su tuo susijusių </w:t>
      </w:r>
      <w:r>
        <w:rPr>
          <w:szCs w:val="24"/>
          <w:lang w:eastAsia="lt-LT"/>
        </w:rPr>
        <w:t xml:space="preserve">nuostolių apskaičiavimo ir atlyginimo tvarkos aprašą, patvirtintą Lietuvos Respublikos energetikos ministro 2010 m. balandžio 19 d. įsakymu Nr. 1-121 „Dėl Laikino elektros energijos persiuntimo nutraukimo siekiant užtikrinti visuomenės interesus sąlygų ir </w:t>
      </w:r>
      <w:r>
        <w:rPr>
          <w:szCs w:val="24"/>
          <w:lang w:eastAsia="lt-LT"/>
        </w:rPr>
        <w:t>su tuo susijusių nuostolių apskaičiavimo ir atlyginimo tvarkos aprašo patvirtinimo“:</w:t>
      </w:r>
    </w:p>
    <w:p w14:paraId="3831C5A4" w14:textId="77777777" w:rsidR="00751AAF" w:rsidRDefault="00AF3A1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2 punktą ir jį išdėstau taip:</w:t>
      </w:r>
    </w:p>
    <w:p w14:paraId="3831C5A5" w14:textId="77777777" w:rsidR="00751AAF" w:rsidRDefault="00AF3A1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Tvarkos aprašas yra privalomas perdavimo sistemos ir skirstomųjų tinklų operatoriams (toliau vadinama – operatorius) be</w:t>
      </w:r>
      <w:r>
        <w:rPr>
          <w:szCs w:val="24"/>
          <w:lang w:eastAsia="lt-LT"/>
        </w:rPr>
        <w:t>i elektros energijos vartotojams (toliau vadinama – vartotojas).“</w:t>
      </w:r>
    </w:p>
    <w:p w14:paraId="3831C5A6" w14:textId="77777777" w:rsidR="00751AAF" w:rsidRDefault="00AF3A1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35 punktą ir jį išdėstau taip:</w:t>
      </w:r>
    </w:p>
    <w:p w14:paraId="3831C5A7" w14:textId="77777777" w:rsidR="00751AAF" w:rsidRDefault="00AF3A17">
      <w:pPr>
        <w:tabs>
          <w:tab w:val="left" w:pos="52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Vartotojų ir operatorių ginčai sprendžiami Energetikos įstatymo 34 straipsnyje nustatyta tvarka.“</w:t>
      </w:r>
    </w:p>
    <w:p w14:paraId="3831C5A8" w14:textId="77777777" w:rsidR="00751AAF" w:rsidRDefault="00AF3A17">
      <w:pPr>
        <w:tabs>
          <w:tab w:val="left" w:pos="52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Pakeičiu 36 punktą ir j</w:t>
      </w:r>
      <w:r>
        <w:rPr>
          <w:szCs w:val="24"/>
          <w:lang w:eastAsia="lt-LT"/>
        </w:rPr>
        <w:t>į išdėstau taip:</w:t>
      </w:r>
    </w:p>
    <w:p w14:paraId="3831C5AC" w14:textId="7BC7413F" w:rsidR="00751AAF" w:rsidRDefault="00AF3A17" w:rsidP="00AF3A17">
      <w:pPr>
        <w:tabs>
          <w:tab w:val="left" w:pos="52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Vartotojų skundai nagrinėjami Energetikos įstatymo 34</w:t>
      </w:r>
      <w:r>
        <w:rPr>
          <w:szCs w:val="24"/>
          <w:vertAlign w:val="superscript"/>
          <w:lang w:eastAsia="lt-LT"/>
        </w:rPr>
        <w:t xml:space="preserve">1 </w:t>
      </w:r>
      <w:r>
        <w:rPr>
          <w:szCs w:val="24"/>
          <w:lang w:eastAsia="lt-LT"/>
        </w:rPr>
        <w:t>straipsnyje nustatyta tvarka.“</w:t>
      </w:r>
    </w:p>
    <w:p w14:paraId="14C76BBF" w14:textId="77777777" w:rsidR="00AF3A17" w:rsidRDefault="00AF3A17">
      <w:pPr>
        <w:tabs>
          <w:tab w:val="left" w:pos="7185"/>
        </w:tabs>
        <w:jc w:val="both"/>
      </w:pPr>
    </w:p>
    <w:p w14:paraId="7A3C84F9" w14:textId="77777777" w:rsidR="00AF3A17" w:rsidRDefault="00AF3A17">
      <w:pPr>
        <w:tabs>
          <w:tab w:val="left" w:pos="7185"/>
        </w:tabs>
        <w:jc w:val="both"/>
      </w:pPr>
    </w:p>
    <w:p w14:paraId="7EC6372B" w14:textId="77777777" w:rsidR="00AF3A17" w:rsidRDefault="00AF3A17">
      <w:pPr>
        <w:tabs>
          <w:tab w:val="left" w:pos="7185"/>
        </w:tabs>
        <w:jc w:val="both"/>
      </w:pPr>
    </w:p>
    <w:p w14:paraId="3831C5AD" w14:textId="0FC5C8F8" w:rsidR="00751AAF" w:rsidRDefault="00AF3A17">
      <w:pPr>
        <w:tabs>
          <w:tab w:val="left" w:pos="7185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Energetikos ministras</w:t>
      </w:r>
      <w:r>
        <w:rPr>
          <w:szCs w:val="24"/>
          <w:lang w:eastAsia="lt-LT"/>
        </w:rPr>
        <w:tab/>
        <w:t xml:space="preserve">             </w:t>
      </w:r>
      <w:r>
        <w:rPr>
          <w:szCs w:val="24"/>
          <w:lang w:eastAsia="lt-LT"/>
        </w:rPr>
        <w:t>Rokas Masiulis</w:t>
      </w:r>
    </w:p>
    <w:sectPr w:rsidR="00751AAF" w:rsidSect="00AF3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1C5B2" w14:textId="77777777" w:rsidR="00751AAF" w:rsidRDefault="00AF3A1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3831C5B3" w14:textId="77777777" w:rsidR="00751AAF" w:rsidRDefault="00AF3A1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C5B8" w14:textId="77777777" w:rsidR="00751AAF" w:rsidRDefault="00751AAF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C5B9" w14:textId="77777777" w:rsidR="00751AAF" w:rsidRDefault="00751AAF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C5BB" w14:textId="77777777" w:rsidR="00751AAF" w:rsidRDefault="00751AAF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1C5B0" w14:textId="77777777" w:rsidR="00751AAF" w:rsidRDefault="00AF3A1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3831C5B1" w14:textId="77777777" w:rsidR="00751AAF" w:rsidRDefault="00AF3A1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C5B4" w14:textId="77777777" w:rsidR="00751AAF" w:rsidRDefault="00AF3A17">
    <w:pPr>
      <w:framePr w:wrap="auto" w:vAnchor="text" w:hAnchor="margin" w:xAlign="center" w:y="1"/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  <w:r>
      <w:rPr>
        <w:rFonts w:ascii="Arial" w:hAnsi="Arial" w:cs="Arial"/>
        <w:sz w:val="20"/>
        <w:szCs w:val="24"/>
        <w:lang w:eastAsia="lt-LT"/>
      </w:rPr>
      <w:fldChar w:fldCharType="begin"/>
    </w:r>
    <w:r>
      <w:rPr>
        <w:rFonts w:ascii="Arial" w:hAnsi="Arial" w:cs="Arial"/>
        <w:sz w:val="20"/>
        <w:szCs w:val="24"/>
        <w:lang w:eastAsia="lt-LT"/>
      </w:rPr>
      <w:instrText xml:space="preserve">PAGE  </w:instrText>
    </w:r>
    <w:r>
      <w:rPr>
        <w:rFonts w:ascii="Arial" w:hAnsi="Arial" w:cs="Arial"/>
        <w:sz w:val="20"/>
        <w:szCs w:val="24"/>
        <w:lang w:eastAsia="lt-LT"/>
      </w:rPr>
      <w:fldChar w:fldCharType="separate"/>
    </w:r>
    <w:r>
      <w:rPr>
        <w:rFonts w:ascii="Arial" w:hAnsi="Arial" w:cs="Arial"/>
        <w:sz w:val="20"/>
        <w:szCs w:val="24"/>
        <w:lang w:eastAsia="lt-LT"/>
      </w:rPr>
      <w:t>2</w:t>
    </w:r>
    <w:r>
      <w:rPr>
        <w:rFonts w:ascii="Arial" w:hAnsi="Arial" w:cs="Arial"/>
        <w:sz w:val="20"/>
        <w:szCs w:val="24"/>
        <w:lang w:eastAsia="lt-LT"/>
      </w:rPr>
      <w:fldChar w:fldCharType="end"/>
    </w:r>
  </w:p>
  <w:p w14:paraId="3831C5B5" w14:textId="77777777" w:rsidR="00751AAF" w:rsidRDefault="00751AAF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C5B6" w14:textId="77777777" w:rsidR="00751AAF" w:rsidRDefault="00AF3A17">
    <w:pPr>
      <w:framePr w:wrap="auto" w:vAnchor="text" w:hAnchor="margin" w:xAlign="center" w:y="1"/>
      <w:widowControl w:val="0"/>
      <w:tabs>
        <w:tab w:val="center" w:pos="4819"/>
        <w:tab w:val="right" w:pos="9638"/>
      </w:tabs>
      <w:rPr>
        <w:rFonts w:ascii="Arial" w:hAnsi="Arial" w:cs="Arial"/>
        <w:sz w:val="20"/>
        <w:szCs w:val="24"/>
        <w:lang w:eastAsia="lt-LT"/>
      </w:rPr>
    </w:pPr>
    <w:r>
      <w:rPr>
        <w:rFonts w:ascii="Arial" w:hAnsi="Arial" w:cs="Arial"/>
        <w:sz w:val="20"/>
        <w:szCs w:val="24"/>
        <w:lang w:eastAsia="lt-LT"/>
      </w:rPr>
      <w:fldChar w:fldCharType="begin"/>
    </w:r>
    <w:r>
      <w:rPr>
        <w:rFonts w:ascii="Arial" w:hAnsi="Arial" w:cs="Arial"/>
        <w:sz w:val="20"/>
        <w:szCs w:val="24"/>
        <w:lang w:eastAsia="lt-LT"/>
      </w:rPr>
      <w:instrText xml:space="preserve">PAGE  </w:instrText>
    </w:r>
    <w:r>
      <w:rPr>
        <w:rFonts w:ascii="Arial" w:hAnsi="Arial" w:cs="Arial"/>
        <w:sz w:val="20"/>
        <w:szCs w:val="24"/>
        <w:lang w:eastAsia="lt-LT"/>
      </w:rPr>
      <w:fldChar w:fldCharType="separate"/>
    </w:r>
    <w:r>
      <w:rPr>
        <w:rFonts w:ascii="Arial" w:hAnsi="Arial" w:cs="Arial"/>
        <w:sz w:val="20"/>
        <w:szCs w:val="24"/>
        <w:lang w:eastAsia="lt-LT"/>
      </w:rPr>
      <w:t>5</w:t>
    </w:r>
    <w:r>
      <w:rPr>
        <w:rFonts w:ascii="Arial" w:hAnsi="Arial" w:cs="Arial"/>
        <w:sz w:val="20"/>
        <w:szCs w:val="24"/>
        <w:lang w:eastAsia="lt-LT"/>
      </w:rPr>
      <w:fldChar w:fldCharType="end"/>
    </w:r>
  </w:p>
  <w:p w14:paraId="3831C5B7" w14:textId="77777777" w:rsidR="00751AAF" w:rsidRDefault="00751AAF">
    <w:pPr>
      <w:widowControl w:val="0"/>
      <w:tabs>
        <w:tab w:val="center" w:pos="4819"/>
        <w:tab w:val="right" w:pos="9638"/>
      </w:tabs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C5BA" w14:textId="77777777" w:rsidR="00751AAF" w:rsidRDefault="00751AAF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65"/>
    <w:rsid w:val="00751AAF"/>
    <w:rsid w:val="008D1265"/>
    <w:rsid w:val="00A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1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F3A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F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F3A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F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ENERGETIKOS MINISTRAS</vt:lpstr>
    </vt:vector>
  </TitlesOfParts>
  <Company>Infolex</Company>
  <LinksUpToDate>false</LinksUpToDate>
  <CharactersWithSpaces>1449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2016-03-07T11:30:00Z</dcterms:created>
  <dc:creator>Algirdas</dc:creator>
  <lastModifiedBy>SKAPAITĖ Dalia</lastModifiedBy>
  <lastPrinted>2016-02-24T06:27:00Z</lastPrinted>
  <dcterms:modified xsi:type="dcterms:W3CDTF">2016-03-07T14:24:00Z</dcterms:modified>
  <revision>3</revision>
  <dc:title>LIETUVOS RESPUBLIKOS ENERGETIKOS MINISTRAS</dc:title>
</coreProperties>
</file>