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A837" w14:textId="77777777" w:rsidR="00C30A7A" w:rsidRDefault="00C30A7A">
      <w:pPr>
        <w:tabs>
          <w:tab w:val="center" w:pos="4819"/>
          <w:tab w:val="right" w:pos="9638"/>
        </w:tabs>
        <w:jc w:val="right"/>
        <w:rPr>
          <w:szCs w:val="24"/>
          <w:lang w:val="en-GB"/>
        </w:rPr>
      </w:pPr>
    </w:p>
    <w:p w14:paraId="0482AB2A" w14:textId="304E1B6F" w:rsidR="00C30A7A" w:rsidRDefault="00EC4B61">
      <w:pPr>
        <w:jc w:val="center"/>
        <w:rPr>
          <w:szCs w:val="24"/>
          <w:lang w:val="en-GB"/>
        </w:rPr>
      </w:pPr>
      <w:r>
        <w:rPr>
          <w:noProof/>
          <w:szCs w:val="24"/>
          <w:lang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C" w14:textId="77777777" w:rsidR="00C30A7A" w:rsidRDefault="00EC4B6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VILNIAUS MIESTO SAVIVALDYBĖS</w:t>
      </w:r>
    </w:p>
    <w:p w14:paraId="0482AB2D" w14:textId="77777777" w:rsidR="00C30A7A" w:rsidRDefault="00EC4B6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TARYBA</w:t>
      </w:r>
    </w:p>
    <w:p w14:paraId="0482AB2E" w14:textId="77777777" w:rsidR="00C30A7A" w:rsidRDefault="00C30A7A">
      <w:pPr>
        <w:jc w:val="center"/>
        <w:rPr>
          <w:szCs w:val="24"/>
          <w:lang w:val="en-GB"/>
        </w:rPr>
      </w:pPr>
    </w:p>
    <w:p w14:paraId="0482AB30" w14:textId="77777777" w:rsidR="00C30A7A" w:rsidRDefault="00EC4B61">
      <w:pPr>
        <w:jc w:val="center"/>
        <w:rPr>
          <w:b/>
          <w:color w:val="000080"/>
          <w:szCs w:val="24"/>
          <w:lang w:val="en-GB"/>
        </w:rPr>
      </w:pPr>
      <w:r>
        <w:rPr>
          <w:b/>
          <w:color w:val="002060"/>
          <w:szCs w:val="24"/>
          <w:lang w:val="en-GB"/>
        </w:rPr>
        <w:t>SPRENDIMAS</w:t>
      </w:r>
    </w:p>
    <w:p w14:paraId="0482AB31" w14:textId="77777777" w:rsidR="00C30A7A" w:rsidRDefault="00EC4B61">
      <w:pPr>
        <w:jc w:val="center"/>
        <w:rPr>
          <w:b/>
          <w:color w:val="000080"/>
          <w:szCs w:val="24"/>
          <w:lang w:val="en-GB"/>
        </w:rPr>
      </w:pPr>
      <w:proofErr w:type="gramStart"/>
      <w:r>
        <w:rPr>
          <w:b/>
          <w:color w:val="002060"/>
          <w:szCs w:val="24"/>
          <w:lang w:val="en-GB"/>
        </w:rPr>
        <w:t>DĖL TARYBOS 2013-07-10 SPRENDIMO NR.</w:t>
      </w:r>
      <w:proofErr w:type="gramEnd"/>
      <w:r>
        <w:rPr>
          <w:b/>
          <w:color w:val="002060"/>
          <w:szCs w:val="24"/>
          <w:lang w:val="en-GB"/>
        </w:rPr>
        <w:t xml:space="preserve"> 1-1312 „DĖL PREKYBOS VIEŠOSIOSE VIETOSE TAISYKLIŲ TVIRTINIMO</w:t>
      </w:r>
      <w:proofErr w:type="gramStart"/>
      <w:r>
        <w:rPr>
          <w:b/>
          <w:color w:val="002060"/>
          <w:szCs w:val="24"/>
          <w:lang w:val="en-GB"/>
        </w:rPr>
        <w:t>“ PAKEITIMO</w:t>
      </w:r>
      <w:proofErr w:type="gramEnd"/>
    </w:p>
    <w:p w14:paraId="0482AB32" w14:textId="77777777" w:rsidR="00C30A7A" w:rsidRDefault="00C30A7A">
      <w:pPr>
        <w:jc w:val="center"/>
        <w:rPr>
          <w:szCs w:val="24"/>
          <w:lang w:val="en-GB"/>
        </w:rPr>
      </w:pPr>
    </w:p>
    <w:p w14:paraId="0482AB33" w14:textId="4FABC491" w:rsidR="00C30A7A" w:rsidRDefault="00EC4B61">
      <w:pPr>
        <w:jc w:val="center"/>
        <w:rPr>
          <w:szCs w:val="24"/>
          <w:lang w:val="en-GB"/>
        </w:rPr>
      </w:pPr>
      <w:proofErr w:type="gramStart"/>
      <w:r>
        <w:rPr>
          <w:szCs w:val="24"/>
          <w:lang w:val="en-GB"/>
        </w:rPr>
        <w:t xml:space="preserve">2018 m. </w:t>
      </w:r>
      <w:proofErr w:type="spellStart"/>
      <w:r>
        <w:rPr>
          <w:szCs w:val="24"/>
          <w:lang w:val="en-GB"/>
        </w:rPr>
        <w:t>gegužės</w:t>
      </w:r>
      <w:proofErr w:type="spellEnd"/>
      <w:r>
        <w:rPr>
          <w:szCs w:val="24"/>
          <w:lang w:val="en-GB"/>
        </w:rPr>
        <w:t xml:space="preserve"> 9</w:t>
      </w:r>
      <w:r>
        <w:rPr>
          <w:szCs w:val="24"/>
          <w:lang w:val="en-GB"/>
        </w:rPr>
        <w:t xml:space="preserve"> d.</w:t>
      </w:r>
      <w:proofErr w:type="gramEnd"/>
      <w:r>
        <w:rPr>
          <w:szCs w:val="24"/>
          <w:lang w:val="en-GB"/>
        </w:rPr>
        <w:t xml:space="preserve">   </w:t>
      </w:r>
      <w:proofErr w:type="spellStart"/>
      <w:r>
        <w:rPr>
          <w:szCs w:val="24"/>
          <w:lang w:val="en-GB"/>
        </w:rPr>
        <w:t>Nr</w:t>
      </w:r>
      <w:proofErr w:type="spellEnd"/>
      <w:r>
        <w:rPr>
          <w:szCs w:val="24"/>
          <w:lang w:val="en-GB"/>
        </w:rPr>
        <w:t>. 1-1529</w:t>
      </w:r>
    </w:p>
    <w:p w14:paraId="0482AB34" w14:textId="77777777" w:rsidR="00C30A7A" w:rsidRDefault="00EC4B61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Vilnius</w:t>
      </w:r>
    </w:p>
    <w:p w14:paraId="0482AB35" w14:textId="77777777" w:rsidR="00C30A7A" w:rsidRDefault="00C30A7A">
      <w:pPr>
        <w:jc w:val="center"/>
        <w:rPr>
          <w:szCs w:val="24"/>
          <w:lang w:val="en-GB"/>
        </w:rPr>
      </w:pPr>
    </w:p>
    <w:p w14:paraId="0BA0CDC3" w14:textId="77777777" w:rsidR="00EC4B61" w:rsidRDefault="00EC4B61">
      <w:pPr>
        <w:jc w:val="center"/>
        <w:rPr>
          <w:szCs w:val="24"/>
          <w:lang w:val="en-GB"/>
        </w:rPr>
      </w:pPr>
    </w:p>
    <w:p w14:paraId="2F050B4D" w14:textId="33027893" w:rsidR="00C30A7A" w:rsidRDefault="00EC4B6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</w:t>
      </w:r>
      <w:r>
        <w:rPr>
          <w:szCs w:val="24"/>
        </w:rPr>
        <w:t>36 punktu ir 18 straipsnio 1 dalimi ir Mažmeninės prekybos taisyklių, patvirtintų Lietuvos Respublikos Vyriausybės 2001 m. birželio 11 d. nutarimu Nr. 1-1312 „Dėl Mažmeni</w:t>
      </w:r>
      <w:r>
        <w:rPr>
          <w:szCs w:val="24"/>
        </w:rPr>
        <w:t>nės prekybos taisyklių patvirtinimo“, 10 punktu Vilniaus miesto savivaldybės taryba  n u s p r e n d ž i a:</w:t>
      </w:r>
    </w:p>
    <w:p w14:paraId="6F8F43DD" w14:textId="77777777" w:rsidR="00C30A7A" w:rsidRDefault="00EC4B6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Vilniaus miesto savivaldybės tarybos 2013 m. liepos 10 d. sprendimą Nr. 1-1312 „Dėl Prekybos viešosiose vietose taisyklių tvirtinimo</w:t>
      </w:r>
      <w:r>
        <w:rPr>
          <w:szCs w:val="24"/>
        </w:rPr>
        <w:t>“:</w:t>
      </w:r>
    </w:p>
    <w:p w14:paraId="662B6CA5" w14:textId="77777777" w:rsidR="00C30A7A" w:rsidRDefault="00EC4B6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papildyti 3 punktu ir jį išdėstyti taip:</w:t>
      </w:r>
    </w:p>
    <w:p w14:paraId="2AF3DD6B" w14:textId="77777777" w:rsidR="00C30A7A" w:rsidRDefault="00EC4B61">
      <w:pPr>
        <w:suppressAutoHyphens/>
        <w:spacing w:line="360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Pavesti Vilniaus miesto savivaldybės administracijos direktoriui nustatyti ir patvirtinti viešąsias vietas, kuriose leidžiama prekiauti naudotomis prekėmis (sendaikčiais).“</w:t>
      </w:r>
    </w:p>
    <w:p w14:paraId="688225CA" w14:textId="77777777" w:rsidR="00C30A7A" w:rsidRDefault="00EC4B6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išdėstyti Pre</w:t>
      </w:r>
      <w:r>
        <w:rPr>
          <w:szCs w:val="24"/>
        </w:rPr>
        <w:t xml:space="preserve">kybos viešosiose vietose taisyklių 4 punkto antrąją pastraipą taip: </w:t>
      </w:r>
    </w:p>
    <w:p w14:paraId="63F0A101" w14:textId="77777777" w:rsidR="00C30A7A" w:rsidRDefault="00EC4B61">
      <w:pPr>
        <w:tabs>
          <w:tab w:val="left" w:pos="1080"/>
          <w:tab w:val="left" w:pos="1176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Viešoji vieta</w:t>
      </w:r>
      <w:r>
        <w:rPr>
          <w:szCs w:val="24"/>
        </w:rPr>
        <w:t xml:space="preserve"> – Vilniaus miesto savivaldybės teritorijoje esanti Savivaldybei ar valstybei nuosavybės teise priklausanti, patikėjimo teise valdoma arba Savivaldybei perduota pagal panaud</w:t>
      </w:r>
      <w:r>
        <w:rPr>
          <w:szCs w:val="24"/>
        </w:rPr>
        <w:t>os sutartį teritorija (išskyrus išnuomotą ar perduotą ne Savivaldybei naudotis teritoriją), kurioje teikiamos paslaugos, taip pat vykdoma prekyba nuo (iš) laikinųjų prekybos įrenginių, kioskų, paviljonų, prekybai pritaikytų automobilių ar priekabų, lauko k</w:t>
      </w:r>
      <w:r>
        <w:rPr>
          <w:szCs w:val="24"/>
        </w:rPr>
        <w:t>avinių.“</w:t>
      </w:r>
    </w:p>
    <w:p w14:paraId="1E003776" w14:textId="0E77FAEA" w:rsidR="00C30A7A" w:rsidRDefault="00EC4B61">
      <w:pPr>
        <w:tabs>
          <w:tab w:val="left" w:pos="1080"/>
          <w:tab w:val="left" w:pos="1176"/>
        </w:tabs>
        <w:spacing w:line="360" w:lineRule="auto"/>
        <w:ind w:firstLine="771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papildyti Prekybos viešosiose vietose taisykles 44 punktu ir išdėstyti jį taip: </w:t>
      </w:r>
    </w:p>
    <w:p w14:paraId="095C67E9" w14:textId="77777777" w:rsidR="00C30A7A" w:rsidRDefault="00EC4B61">
      <w:pPr>
        <w:tabs>
          <w:tab w:val="left" w:pos="1080"/>
          <w:tab w:val="left" w:pos="1176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44</w:t>
      </w:r>
      <w:r>
        <w:rPr>
          <w:szCs w:val="24"/>
        </w:rPr>
        <w:t>. Valstybės tarnautojai ir darbuotojai už šių Taisyklių nesilaikymą atsako Lietuvos Respublikos teisės aktų nustatyta tvarka.“;</w:t>
      </w:r>
    </w:p>
    <w:p w14:paraId="390B1868" w14:textId="2BE18AA5" w:rsidR="00C30A7A" w:rsidRDefault="00EC4B61">
      <w:pPr>
        <w:tabs>
          <w:tab w:val="left" w:pos="1080"/>
          <w:tab w:val="left" w:pos="1176"/>
        </w:tabs>
        <w:spacing w:line="360" w:lineRule="auto"/>
        <w:ind w:firstLine="771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papildy</w:t>
      </w:r>
      <w:r>
        <w:rPr>
          <w:szCs w:val="24"/>
        </w:rPr>
        <w:t>ti Prekybos viešosiose vietose taisykles 45 punktu ir išdėstyti jį taip:</w:t>
      </w:r>
    </w:p>
    <w:p w14:paraId="79B4218C" w14:textId="77777777" w:rsidR="00C30A7A" w:rsidRDefault="00EC4B61">
      <w:pPr>
        <w:tabs>
          <w:tab w:val="left" w:pos="54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45</w:t>
      </w:r>
      <w:r>
        <w:rPr>
          <w:szCs w:val="24"/>
        </w:rPr>
        <w:t>. Valstybės tarnautojų ir darbuotojų veiksmai įgyvendinant šias Taisykles gali būti skundžiami Lietuvos Respublikos įstatymų nustatyta tvarka.“</w:t>
      </w:r>
    </w:p>
    <w:p w14:paraId="0482AB3B" w14:textId="2C669108" w:rsidR="00C30A7A" w:rsidRDefault="00EC4B61" w:rsidP="00EC4B61">
      <w:pPr>
        <w:suppressAutoHyphens/>
        <w:spacing w:line="360" w:lineRule="auto"/>
        <w:ind w:firstLine="709"/>
        <w:jc w:val="both"/>
        <w:textAlignment w:val="center"/>
        <w:rPr>
          <w:szCs w:val="24"/>
          <w:lang w:val="en-GB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Nustatyti, kad už šio</w:t>
      </w:r>
      <w:r>
        <w:rPr>
          <w:color w:val="000000"/>
          <w:szCs w:val="24"/>
          <w:lang w:eastAsia="lt-LT"/>
        </w:rPr>
        <w:t xml:space="preserve"> sprendimo vykdymą atsakingas yra Turto departamento direktorius.</w:t>
      </w:r>
    </w:p>
    <w:bookmarkStart w:id="0" w:name="_GoBack" w:displacedByCustomXml="prev"/>
    <w:p w14:paraId="6C1DED15" w14:textId="2E1D6BC3" w:rsidR="00EC4B61" w:rsidRDefault="00EC4B61" w:rsidP="00EC4B61">
      <w:pPr>
        <w:tabs>
          <w:tab w:val="left" w:pos="7655"/>
        </w:tabs>
        <w:rPr>
          <w:color w:val="002060"/>
          <w:szCs w:val="24"/>
          <w:lang w:val="en-GB"/>
        </w:rPr>
      </w:pPr>
    </w:p>
    <w:p w14:paraId="531D426D" w14:textId="77777777" w:rsidR="00EC4B61" w:rsidRDefault="00EC4B61" w:rsidP="00EC4B61">
      <w:pPr>
        <w:tabs>
          <w:tab w:val="left" w:pos="7655"/>
        </w:tabs>
        <w:rPr>
          <w:color w:val="002060"/>
          <w:szCs w:val="24"/>
          <w:lang w:val="en-GB"/>
        </w:rPr>
      </w:pPr>
    </w:p>
    <w:p w14:paraId="248A3CEC" w14:textId="77777777" w:rsidR="00EC4B61" w:rsidRDefault="00EC4B61" w:rsidP="00EC4B61">
      <w:pPr>
        <w:tabs>
          <w:tab w:val="left" w:pos="7655"/>
        </w:tabs>
        <w:rPr>
          <w:color w:val="002060"/>
          <w:szCs w:val="24"/>
          <w:lang w:val="en-GB"/>
        </w:rPr>
      </w:pPr>
    </w:p>
    <w:p w14:paraId="0482AB3F" w14:textId="7E160727" w:rsidR="00C30A7A" w:rsidRDefault="00EC4B61" w:rsidP="00EC4B61">
      <w:pPr>
        <w:tabs>
          <w:tab w:val="left" w:pos="7655"/>
        </w:tabs>
        <w:rPr>
          <w:szCs w:val="24"/>
          <w:lang w:val="en-GB"/>
        </w:rPr>
      </w:pPr>
      <w:proofErr w:type="spellStart"/>
      <w:r>
        <w:rPr>
          <w:color w:val="002060"/>
          <w:szCs w:val="24"/>
          <w:lang w:val="en-GB"/>
        </w:rPr>
        <w:t>Meras</w:t>
      </w:r>
      <w:proofErr w:type="spellEnd"/>
      <w:r>
        <w:rPr>
          <w:color w:val="000080"/>
          <w:szCs w:val="24"/>
          <w:lang w:val="en-GB"/>
        </w:rPr>
        <w:tab/>
      </w:r>
      <w:proofErr w:type="spellStart"/>
      <w:r>
        <w:rPr>
          <w:color w:val="002060"/>
          <w:szCs w:val="24"/>
          <w:lang w:val="en-GB"/>
        </w:rPr>
        <w:t>Remigijus</w:t>
      </w:r>
      <w:proofErr w:type="spellEnd"/>
      <w:r>
        <w:rPr>
          <w:color w:val="002060"/>
          <w:szCs w:val="24"/>
          <w:lang w:val="en-GB"/>
        </w:rPr>
        <w:t xml:space="preserve"> </w:t>
      </w:r>
      <w:proofErr w:type="spellStart"/>
      <w:r>
        <w:rPr>
          <w:color w:val="002060"/>
          <w:szCs w:val="24"/>
          <w:lang w:val="en-GB"/>
        </w:rPr>
        <w:t>Šimašius</w:t>
      </w:r>
      <w:proofErr w:type="spellEnd"/>
    </w:p>
    <w:bookmarkEnd w:id="0" w:displacedByCustomXml="next"/>
    <w:sectPr w:rsidR="00C30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AB43" w14:textId="77777777" w:rsidR="00C30A7A" w:rsidRDefault="00EC4B6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482AB44" w14:textId="77777777" w:rsidR="00C30A7A" w:rsidRDefault="00EC4B6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52E1" w14:textId="77777777" w:rsidR="00C30A7A" w:rsidRDefault="00C30A7A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262C" w14:textId="77777777" w:rsidR="00C30A7A" w:rsidRDefault="00C30A7A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9E1A" w14:textId="77777777" w:rsidR="00C30A7A" w:rsidRDefault="00C30A7A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2AB41" w14:textId="77777777" w:rsidR="00C30A7A" w:rsidRDefault="00EC4B6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482AB42" w14:textId="77777777" w:rsidR="00C30A7A" w:rsidRDefault="00EC4B6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FF00" w14:textId="77777777" w:rsidR="00C30A7A" w:rsidRDefault="00C30A7A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5" w14:textId="77777777" w:rsidR="00C30A7A" w:rsidRDefault="00C30A7A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6" w14:textId="12B02105" w:rsidR="00C30A7A" w:rsidRDefault="00C30A7A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615260"/>
    <w:rsid w:val="00C30A7A"/>
    <w:rsid w:val="00E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4B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4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D1"/>
    <w:rsid w:val="005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36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36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2092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2018-05-11T12:46:00Z</dcterms:created>
  <dc:creator>-</dc:creator>
  <lastModifiedBy>ŠAULYTĖ SKAIRIENĖ Dalia</lastModifiedBy>
  <dcterms:modified xsi:type="dcterms:W3CDTF">2018-05-14T08:43:00Z</dcterms:modified>
  <revision>3</revision>
</coreProperties>
</file>