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p w14:paraId="3B731FE2" w14:textId="56D0D7CC" w:rsidR="009A2DDD" w:rsidRDefault="00667E07" w:rsidP="00667E07">
      <w:pPr>
        <w:tabs>
          <w:tab w:val="center" w:pos="4153"/>
          <w:tab w:val="right" w:pos="8306"/>
        </w:tabs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3B73202D" wp14:editId="3B73202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731FE3" w14:textId="77777777" w:rsidR="009A2DDD" w:rsidRDefault="009A2DDD">
      <w:pPr>
        <w:jc w:val="center"/>
        <w:rPr>
          <w:caps/>
          <w:sz w:val="12"/>
          <w:szCs w:val="12"/>
        </w:rPr>
      </w:pPr>
    </w:p>
    <w:p w14:paraId="3B731FE4" w14:textId="77777777" w:rsidR="009A2DDD" w:rsidRDefault="00667E07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3B731FE5" w14:textId="77777777" w:rsidR="009A2DDD" w:rsidRDefault="00667E07">
      <w:pPr>
        <w:jc w:val="center"/>
        <w:rPr>
          <w:b/>
          <w:caps/>
        </w:rPr>
      </w:pPr>
      <w:r>
        <w:rPr>
          <w:b/>
          <w:caps/>
        </w:rPr>
        <w:t>BAUDŽIAMOJO KODEKSO 7, 196, 197, 198</w:t>
      </w:r>
      <w:r>
        <w:rPr>
          <w:b/>
          <w:caps/>
          <w:vertAlign w:val="superscript"/>
        </w:rPr>
        <w:t>1</w:t>
      </w:r>
      <w:r>
        <w:rPr>
          <w:b/>
          <w:caps/>
        </w:rPr>
        <w:t>, 198</w:t>
      </w:r>
      <w:r>
        <w:rPr>
          <w:b/>
          <w:caps/>
          <w:vertAlign w:val="superscript"/>
        </w:rPr>
        <w:t>2</w:t>
      </w:r>
      <w:r>
        <w:rPr>
          <w:b/>
          <w:caps/>
        </w:rPr>
        <w:t xml:space="preserve"> STRAIPSNIŲ IR PRIEDO PAKEITIMO IR KODEKSO PAPILDYMO 270</w:t>
      </w:r>
      <w:r>
        <w:rPr>
          <w:b/>
          <w:caps/>
          <w:vertAlign w:val="superscript"/>
        </w:rPr>
        <w:t>3</w:t>
      </w:r>
      <w:r>
        <w:rPr>
          <w:b/>
          <w:caps/>
        </w:rPr>
        <w:t xml:space="preserve"> STRAIPSNIU</w:t>
      </w:r>
    </w:p>
    <w:p w14:paraId="3B731FE6" w14:textId="77777777" w:rsidR="009A2DDD" w:rsidRDefault="00667E07">
      <w:pPr>
        <w:jc w:val="center"/>
        <w:rPr>
          <w:caps/>
        </w:rPr>
      </w:pPr>
      <w:r>
        <w:rPr>
          <w:b/>
          <w:caps/>
        </w:rPr>
        <w:t>ĮSTATYMAS</w:t>
      </w:r>
    </w:p>
    <w:p w14:paraId="3B731FE7" w14:textId="77777777" w:rsidR="009A2DDD" w:rsidRDefault="009A2DDD">
      <w:pPr>
        <w:jc w:val="center"/>
        <w:rPr>
          <w:b/>
          <w:caps/>
        </w:rPr>
      </w:pPr>
    </w:p>
    <w:p w14:paraId="3B731FE8" w14:textId="77777777" w:rsidR="009A2DDD" w:rsidRDefault="00667E07">
      <w:pPr>
        <w:jc w:val="center"/>
        <w:rPr>
          <w:sz w:val="22"/>
        </w:rPr>
      </w:pPr>
      <w:r>
        <w:rPr>
          <w:sz w:val="22"/>
        </w:rPr>
        <w:t>2015 m. birželio 11 d. Nr. XII-1777</w:t>
      </w:r>
    </w:p>
    <w:p w14:paraId="3B731FE9" w14:textId="77777777" w:rsidR="009A2DDD" w:rsidRDefault="00667E07">
      <w:pPr>
        <w:jc w:val="center"/>
        <w:rPr>
          <w:sz w:val="22"/>
        </w:rPr>
      </w:pPr>
      <w:r>
        <w:rPr>
          <w:sz w:val="22"/>
        </w:rPr>
        <w:t>Vilnius</w:t>
      </w:r>
    </w:p>
    <w:p w14:paraId="3B731FEA" w14:textId="77777777" w:rsidR="009A2DDD" w:rsidRDefault="009A2DDD">
      <w:pPr>
        <w:jc w:val="center"/>
        <w:rPr>
          <w:sz w:val="22"/>
        </w:rPr>
      </w:pPr>
    </w:p>
    <w:p w14:paraId="3B731FED" w14:textId="77777777" w:rsidR="009A2DDD" w:rsidRDefault="009A2DD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B731FEE" w14:textId="77777777" w:rsidR="009A2DDD" w:rsidRDefault="00667E07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7 straipsnio pakeitimas</w:t>
      </w:r>
    </w:p>
    <w:p w14:paraId="3B731FEF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7 straipsnio 13 punktą ir jį išdėstyti taip:</w:t>
      </w:r>
    </w:p>
    <w:p w14:paraId="3B731FF0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13</w:t>
      </w:r>
      <w:r>
        <w:rPr>
          <w:szCs w:val="24"/>
        </w:rPr>
        <w:t xml:space="preserve">) nusikaltimus aplinkai (270, </w:t>
      </w:r>
      <w:r>
        <w:rPr>
          <w:szCs w:val="24"/>
        </w:rPr>
        <w:t>270</w:t>
      </w:r>
      <w:r>
        <w:rPr>
          <w:szCs w:val="24"/>
          <w:vertAlign w:val="superscript"/>
        </w:rPr>
        <w:t>1</w:t>
      </w:r>
      <w:r>
        <w:rPr>
          <w:szCs w:val="24"/>
        </w:rPr>
        <w:t>, 270</w:t>
      </w:r>
      <w:r>
        <w:rPr>
          <w:szCs w:val="24"/>
          <w:vertAlign w:val="superscript"/>
        </w:rPr>
        <w:t>2</w:t>
      </w:r>
      <w:r>
        <w:rPr>
          <w:szCs w:val="24"/>
        </w:rPr>
        <w:t>, 270</w:t>
      </w:r>
      <w:r>
        <w:rPr>
          <w:szCs w:val="24"/>
          <w:vertAlign w:val="superscript"/>
        </w:rPr>
        <w:t>3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>271, 272, 274 straipsniai).“</w:t>
      </w:r>
    </w:p>
    <w:p w14:paraId="3B731FF1" w14:textId="77777777" w:rsidR="009A2DDD" w:rsidRDefault="00667E07">
      <w:pPr>
        <w:spacing w:line="240" w:lineRule="atLeast"/>
        <w:ind w:firstLine="720"/>
        <w:jc w:val="both"/>
        <w:rPr>
          <w:szCs w:val="24"/>
        </w:rPr>
      </w:pPr>
    </w:p>
    <w:p w14:paraId="3B731FF2" w14:textId="77777777" w:rsidR="009A2DDD" w:rsidRDefault="00667E07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196 straipsnio pakeitimas</w:t>
      </w:r>
    </w:p>
    <w:p w14:paraId="3B731FF3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196 straipsnį ir jį išdėstyti taip:</w:t>
      </w:r>
    </w:p>
    <w:p w14:paraId="3B731FF4" w14:textId="77777777" w:rsidR="009A2DDD" w:rsidRDefault="00667E07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bCs/>
          <w:szCs w:val="24"/>
        </w:rPr>
        <w:t>196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Neteisėtas poveikis elektroniniams duomenims</w:t>
      </w:r>
    </w:p>
    <w:p w14:paraId="3B731FF5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Tas, kas neteisėtai sunaikino, sugadino,</w:t>
      </w:r>
      <w:r>
        <w:rPr>
          <w:szCs w:val="24"/>
        </w:rPr>
        <w:t xml:space="preserve"> pašalino ar pakeitė elektroninius duomenis arba technine įranga, programine įranga ar kitais būdais apribojo naudojimąsi tokiais duomenimis padarydamas žalos, </w:t>
      </w:r>
    </w:p>
    <w:p w14:paraId="3B731FF6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baudžiamas viešaisiais darbais arba bauda, arba laisvės atėmimu iki </w:t>
      </w:r>
      <w:r>
        <w:rPr>
          <w:color w:val="000000"/>
          <w:szCs w:val="24"/>
        </w:rPr>
        <w:t>dvejų</w:t>
      </w:r>
      <w:r>
        <w:rPr>
          <w:szCs w:val="24"/>
        </w:rPr>
        <w:t xml:space="preserve"> metų.</w:t>
      </w:r>
    </w:p>
    <w:p w14:paraId="3B731FF7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Tas, kas</w:t>
      </w:r>
      <w:r>
        <w:rPr>
          <w:szCs w:val="24"/>
        </w:rPr>
        <w:t xml:space="preserve"> šio straipsnio 1 dalyje numatytą veiką padarė</w:t>
      </w:r>
      <w:r>
        <w:rPr>
          <w:b/>
          <w:szCs w:val="24"/>
        </w:rPr>
        <w:t xml:space="preserve"> </w:t>
      </w:r>
      <w:r>
        <w:rPr>
          <w:color w:val="000000"/>
          <w:szCs w:val="24"/>
        </w:rPr>
        <w:t xml:space="preserve">daugelio informacinių </w:t>
      </w:r>
      <w:r>
        <w:rPr>
          <w:szCs w:val="24"/>
        </w:rPr>
        <w:t>sistemų elektroniniams duomenims arba strateginę reikšmę nacionaliniam saugumui ar didelę reikšmę valstybės valdymui, ūkiui ar finansų sistemai turinčios informacinės sistemos elektronini</w:t>
      </w:r>
      <w:r>
        <w:rPr>
          <w:szCs w:val="24"/>
        </w:rPr>
        <w:t>ams duomenims, arba pasinaudodamas svetimais asmens duomenimis, arba padarydamas didelės žalos,</w:t>
      </w:r>
    </w:p>
    <w:p w14:paraId="3B731FF8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baudžiamas bauda arba areštu, arba laisvės atėmimu iki šešerių metų.</w:t>
      </w:r>
    </w:p>
    <w:p w14:paraId="3B731FF9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Tas, kas padarė šiame straipsnyje numatytą veiką padarydamas nedidelės žalos, padarė</w:t>
      </w:r>
      <w:r>
        <w:rPr>
          <w:szCs w:val="24"/>
        </w:rPr>
        <w:t xml:space="preserve"> baudžiamąjį nusižengimą ir </w:t>
      </w:r>
    </w:p>
    <w:p w14:paraId="3B731FFA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baudžiamas viešaisiais darbais arba bauda, arba laisvės apribojimu, arba areštu.</w:t>
      </w:r>
    </w:p>
    <w:p w14:paraId="3B731FFB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Už šiame straipsnyje numatytas veikas atsako ir juridinis asmuo.“</w:t>
      </w:r>
    </w:p>
    <w:p w14:paraId="3B731FFC" w14:textId="77777777" w:rsidR="009A2DDD" w:rsidRDefault="00667E07">
      <w:pPr>
        <w:spacing w:line="240" w:lineRule="atLeast"/>
        <w:ind w:firstLine="720"/>
        <w:jc w:val="both"/>
        <w:rPr>
          <w:szCs w:val="24"/>
        </w:rPr>
      </w:pPr>
    </w:p>
    <w:p w14:paraId="3B731FFD" w14:textId="77777777" w:rsidR="009A2DDD" w:rsidRDefault="00667E07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197 straipsnio pakeitimas</w:t>
      </w:r>
    </w:p>
    <w:p w14:paraId="3B731FFE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Pakeisti 197 </w:t>
      </w:r>
      <w:r>
        <w:rPr>
          <w:szCs w:val="24"/>
        </w:rPr>
        <w:t>straipsnį ir jį išdėstyti taip:</w:t>
      </w:r>
    </w:p>
    <w:p w14:paraId="3B731FFF" w14:textId="77777777" w:rsidR="009A2DDD" w:rsidRDefault="00667E07">
      <w:pPr>
        <w:spacing w:line="360" w:lineRule="auto"/>
        <w:ind w:firstLine="720"/>
        <w:jc w:val="both"/>
        <w:rPr>
          <w:b/>
          <w:szCs w:val="24"/>
        </w:rPr>
      </w:pPr>
      <w:r>
        <w:rPr>
          <w:bCs/>
          <w:szCs w:val="24"/>
        </w:rPr>
        <w:t>„</w:t>
      </w:r>
      <w:r>
        <w:rPr>
          <w:b/>
          <w:bCs/>
          <w:szCs w:val="24"/>
        </w:rPr>
        <w:t>197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Neteisėtas poveikis informacinei sistemai</w:t>
      </w:r>
    </w:p>
    <w:p w14:paraId="3B732000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Tas, kas neteisėtai sutrikdė ar nutraukė informacinės sistemos darbą padarydamas žalos,</w:t>
      </w:r>
    </w:p>
    <w:p w14:paraId="3B732001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baudžiamas bauda arba areštu, arba laisvės atėmimu iki </w:t>
      </w:r>
      <w:r>
        <w:rPr>
          <w:color w:val="000000"/>
          <w:szCs w:val="24"/>
        </w:rPr>
        <w:t>dvejų</w:t>
      </w:r>
      <w:r>
        <w:rPr>
          <w:szCs w:val="24"/>
        </w:rPr>
        <w:t xml:space="preserve"> metų.</w:t>
      </w:r>
    </w:p>
    <w:p w14:paraId="3B732002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Tas, kas šio straipsnio 1 dalyje numatytą veiką padarė </w:t>
      </w:r>
      <w:r>
        <w:rPr>
          <w:color w:val="000000"/>
          <w:szCs w:val="24"/>
        </w:rPr>
        <w:t>daugeliui</w:t>
      </w:r>
      <w:r>
        <w:rPr>
          <w:szCs w:val="24"/>
        </w:rPr>
        <w:t xml:space="preserve"> informacinių sistemų arba strateginę reikšmę nacionaliniam saugumu</w:t>
      </w:r>
      <w:r>
        <w:rPr>
          <w:color w:val="000000"/>
          <w:szCs w:val="24"/>
        </w:rPr>
        <w:t xml:space="preserve">i </w:t>
      </w:r>
      <w:r>
        <w:rPr>
          <w:szCs w:val="24"/>
        </w:rPr>
        <w:t xml:space="preserve">ar didelę reikšmę valstybės valdymui, ūkiui ar finansų sistemai turinčiai informacinei sistemai, arba pasinaudodamas </w:t>
      </w:r>
      <w:r>
        <w:rPr>
          <w:szCs w:val="24"/>
        </w:rPr>
        <w:t>svetimais asmens duomenimis, arba padarydamas didelės žalos,</w:t>
      </w:r>
    </w:p>
    <w:p w14:paraId="3B732003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baudžiamas bauda arba areštu, arba laisvės atėmimu iki šešerių metų.</w:t>
      </w:r>
    </w:p>
    <w:p w14:paraId="3B732004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Tas, kas padarė šiame straipsnyje numatytą veiką padarydamas nedidelės žalos, padarė baudžiamąjį nusižengimą ir </w:t>
      </w:r>
    </w:p>
    <w:p w14:paraId="3B732005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baudži</w:t>
      </w:r>
      <w:r>
        <w:rPr>
          <w:szCs w:val="24"/>
        </w:rPr>
        <w:t>amas viešaisiais darbais arba bauda, arba laisvės apribojimu, arba areštu.</w:t>
      </w:r>
    </w:p>
    <w:p w14:paraId="3B732006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Už šiame straipsnyje numatytas veikas atsako ir juridinis asmuo.“</w:t>
      </w:r>
    </w:p>
    <w:p w14:paraId="3B732007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</w:p>
    <w:p w14:paraId="3B732008" w14:textId="77777777" w:rsidR="009A2DDD" w:rsidRDefault="00667E07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198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straipsnio pakeitimas</w:t>
      </w:r>
    </w:p>
    <w:p w14:paraId="3B732009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198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straipsnį ir jį išdėstyti taip:</w:t>
      </w:r>
    </w:p>
    <w:p w14:paraId="3B73200A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b/>
          <w:bCs/>
          <w:szCs w:val="24"/>
        </w:rPr>
        <w:t>198</w:t>
      </w:r>
      <w:r>
        <w:rPr>
          <w:b/>
          <w:bCs/>
          <w:szCs w:val="24"/>
          <w:vertAlign w:val="superscript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Neteisėtas prisijungimas prie informacinės sistemos</w:t>
      </w:r>
    </w:p>
    <w:p w14:paraId="3B73200B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Tas, kas neteisėtai prisijungė prie informacinės sistemos ar jos dalies</w:t>
      </w:r>
      <w:r>
        <w:rPr>
          <w:b/>
          <w:szCs w:val="24"/>
        </w:rPr>
        <w:t xml:space="preserve"> </w:t>
      </w:r>
      <w:r>
        <w:rPr>
          <w:szCs w:val="24"/>
        </w:rPr>
        <w:t>pažeisdamas informacinės sistemos apsaugos priemones,</w:t>
      </w:r>
    </w:p>
    <w:p w14:paraId="3B73200C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baudžiamas viešaisiais darbais arba bauda, arba areštu, a</w:t>
      </w:r>
      <w:r>
        <w:rPr>
          <w:szCs w:val="24"/>
        </w:rPr>
        <w:t xml:space="preserve">rba laisvės atėmimu iki </w:t>
      </w:r>
      <w:r>
        <w:rPr>
          <w:color w:val="000000"/>
          <w:szCs w:val="24"/>
        </w:rPr>
        <w:t>dvejų</w:t>
      </w:r>
      <w:r>
        <w:rPr>
          <w:b/>
          <w:color w:val="000000"/>
          <w:szCs w:val="24"/>
        </w:rPr>
        <w:t xml:space="preserve"> </w:t>
      </w:r>
      <w:r>
        <w:rPr>
          <w:szCs w:val="24"/>
        </w:rPr>
        <w:t xml:space="preserve">metų. </w:t>
      </w:r>
    </w:p>
    <w:p w14:paraId="3B73200D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Tas, kas neteisėtai prisijungė prie strateginę reikšmę nacionaliniam saugumui ar didelę reikšmę valstybės valdymui, ūkiui ar finansų sistemai turinčios informacinės sistemos ar jos dalies,</w:t>
      </w:r>
    </w:p>
    <w:p w14:paraId="3B73200E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baudžiamas bauda arba </w:t>
      </w:r>
      <w:r>
        <w:rPr>
          <w:szCs w:val="24"/>
        </w:rPr>
        <w:t>areštu, arba laisvės atėmimu iki trejų metų.</w:t>
      </w:r>
    </w:p>
    <w:p w14:paraId="3B73200F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Už šiame straipsnyje numatytas veikas atsako ir juridinis asmuo.“</w:t>
      </w:r>
    </w:p>
    <w:p w14:paraId="3B732010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</w:p>
    <w:p w14:paraId="3B732011" w14:textId="77777777" w:rsidR="009A2DDD" w:rsidRDefault="00667E07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5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198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 straipsnio pakeitimas</w:t>
      </w:r>
    </w:p>
    <w:p w14:paraId="3B732012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198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straipsnį ir jį išdėstyti taip:</w:t>
      </w:r>
    </w:p>
    <w:p w14:paraId="3B732013" w14:textId="77777777" w:rsidR="009A2DDD" w:rsidRDefault="00667E07">
      <w:pPr>
        <w:spacing w:line="360" w:lineRule="auto"/>
        <w:ind w:left="2835" w:hanging="2115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bCs/>
          <w:szCs w:val="24"/>
        </w:rPr>
        <w:t>198</w:t>
      </w:r>
      <w:r>
        <w:rPr>
          <w:b/>
          <w:bCs/>
          <w:szCs w:val="24"/>
          <w:vertAlign w:val="superscript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Neteisėtas dispo</w:t>
      </w:r>
      <w:r>
        <w:rPr>
          <w:b/>
          <w:bCs/>
          <w:szCs w:val="24"/>
        </w:rPr>
        <w:t>navimas įrenginiais, programine įranga, slaptažodžiais, kodais ir kitokiais duomenimis</w:t>
      </w:r>
    </w:p>
    <w:p w14:paraId="3B732014" w14:textId="77777777" w:rsidR="009A2DDD" w:rsidRDefault="00667E07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1</w:t>
      </w:r>
      <w:r>
        <w:rPr>
          <w:szCs w:val="24"/>
        </w:rPr>
        <w:t>. Tas, kas nusikalstamais tikslais ar kitaip</w:t>
      </w:r>
      <w:r>
        <w:rPr>
          <w:b/>
          <w:szCs w:val="24"/>
        </w:rPr>
        <w:t xml:space="preserve"> </w:t>
      </w:r>
      <w:r>
        <w:rPr>
          <w:szCs w:val="24"/>
        </w:rPr>
        <w:t>neteisėtai gamino, gabeno, importavo,</w:t>
      </w:r>
      <w:r>
        <w:rPr>
          <w:b/>
          <w:szCs w:val="24"/>
        </w:rPr>
        <w:t xml:space="preserve"> </w:t>
      </w:r>
      <w:r>
        <w:rPr>
          <w:szCs w:val="24"/>
        </w:rPr>
        <w:t>pardavė, suteikė prieigą</w:t>
      </w:r>
      <w:r>
        <w:rPr>
          <w:b/>
          <w:szCs w:val="24"/>
        </w:rPr>
        <w:t xml:space="preserve"> </w:t>
      </w:r>
      <w:r>
        <w:rPr>
          <w:szCs w:val="24"/>
        </w:rPr>
        <w:t>ar kitaip platino, įgijo ar laikė įrenginius ar programi</w:t>
      </w:r>
      <w:r>
        <w:rPr>
          <w:szCs w:val="24"/>
        </w:rPr>
        <w:t xml:space="preserve">nę įrangą, tiesiogiai skirtus ar pritaikytus daryti nusikalstamas veikas, taip pat slaptažodžius, kodus ar kitokius panašius duomenis, </w:t>
      </w:r>
      <w:r>
        <w:rPr>
          <w:color w:val="000000"/>
          <w:szCs w:val="24"/>
          <w:lang w:eastAsia="lt-LT"/>
        </w:rPr>
        <w:t>skirtus prisijungti prie informacinės sistemos ar jos dalies,</w:t>
      </w:r>
    </w:p>
    <w:p w14:paraId="3B732015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baudžiamas viešaisiais darbais arba bauda, arba areštu, </w:t>
      </w:r>
      <w:r>
        <w:rPr>
          <w:szCs w:val="24"/>
        </w:rPr>
        <w:t>arba laisvės atėmimu iki trejų metų.</w:t>
      </w:r>
    </w:p>
    <w:p w14:paraId="3B732016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Už šiame straipsnyje numatytas veikas atsako ir juridinis asmuo.“</w:t>
      </w:r>
    </w:p>
    <w:p w14:paraId="3B732017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</w:p>
    <w:p w14:paraId="3B732018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6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Kodekso papildymas 270</w:t>
      </w:r>
      <w:r>
        <w:rPr>
          <w:b/>
          <w:szCs w:val="24"/>
          <w:vertAlign w:val="superscript"/>
        </w:rPr>
        <w:t>3</w:t>
      </w:r>
      <w:r>
        <w:rPr>
          <w:b/>
          <w:szCs w:val="24"/>
        </w:rPr>
        <w:t xml:space="preserve"> straipsniu</w:t>
      </w:r>
    </w:p>
    <w:p w14:paraId="3B732019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Kodeksą 270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straipsniu:</w:t>
      </w:r>
    </w:p>
    <w:p w14:paraId="3B73201A" w14:textId="77777777" w:rsidR="009A2DDD" w:rsidRDefault="00667E07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270</w:t>
      </w:r>
      <w:r>
        <w:rPr>
          <w:b/>
          <w:szCs w:val="24"/>
          <w:vertAlign w:val="superscript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Jūros teršimas iš laivų</w:t>
      </w:r>
    </w:p>
    <w:p w14:paraId="3B73201B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Tas, kas pažeisdamas Tarptautinės konvencijos dėl teršimo iš laivų prevencijos (MARPOL 73/78) I ir II prieduose nustatytus reikalavimus teršė iš laivų atvirą jūrą arba kitą teritoriją, kurioje negalioja jokios valstybės jurisdikcija, Lietuvos Respublikos</w:t>
      </w:r>
      <w:r>
        <w:rPr>
          <w:szCs w:val="24"/>
        </w:rPr>
        <w:t xml:space="preserve"> ar kitų Europos Sąjungos valstybių narių išskirtinę ekonominę zoną, teritorinę jūrą, tarptautinei laivybai naudojamus sąsiaurius, kuriuose galioja šių valstybių jurisdikcija, vidaus vandenis, įskaitant uostus, jeigu dėl to pablogėjo vandens kokybė, </w:t>
      </w:r>
    </w:p>
    <w:p w14:paraId="3B73201C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baudž</w:t>
      </w:r>
      <w:r>
        <w:rPr>
          <w:szCs w:val="24"/>
        </w:rPr>
        <w:t xml:space="preserve">iamas bauda arba areštu, arba laisvės atėmimu iki trejų metų. </w:t>
      </w:r>
    </w:p>
    <w:p w14:paraId="3B73201D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Šio straipsnio 1 dalyje numatyta veika yra nusikalstama ir tais atvejais, kai ji padaryta dėl neatsargumo.</w:t>
      </w:r>
    </w:p>
    <w:p w14:paraId="3B73201E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Už šiame straipsnyje numatytą veiką atsako ir juridinis asmuo.“ </w:t>
      </w:r>
    </w:p>
    <w:p w14:paraId="3B73201F" w14:textId="77777777" w:rsidR="009A2DDD" w:rsidRDefault="00667E07">
      <w:pPr>
        <w:spacing w:line="360" w:lineRule="auto"/>
        <w:ind w:firstLine="720"/>
        <w:jc w:val="both"/>
        <w:rPr>
          <w:b/>
          <w:szCs w:val="24"/>
        </w:rPr>
      </w:pPr>
    </w:p>
    <w:p w14:paraId="3B732020" w14:textId="77777777" w:rsidR="009A2DDD" w:rsidRDefault="00667E07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Kodekso priedo pakeitimas </w:t>
      </w:r>
    </w:p>
    <w:p w14:paraId="3B732021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Pripažinti netekusiu galios Kodekso priedo 16 punktą. </w:t>
      </w:r>
    </w:p>
    <w:p w14:paraId="3B732022" w14:textId="77777777" w:rsidR="009A2DDD" w:rsidRDefault="00667E07">
      <w:pPr>
        <w:spacing w:line="360" w:lineRule="auto"/>
        <w:ind w:firstLine="720"/>
        <w:jc w:val="both"/>
        <w:rPr>
          <w:strike/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Buvusius Kodekso priedo 17, 18, 19, 20, 21, 22, 23, 24, 25, 26, 27, 28, </w:t>
      </w:r>
      <w:r>
        <w:rPr>
          <w:color w:val="000000"/>
          <w:szCs w:val="24"/>
        </w:rPr>
        <w:t xml:space="preserve">29, 30 </w:t>
      </w:r>
      <w:r>
        <w:rPr>
          <w:szCs w:val="24"/>
        </w:rPr>
        <w:t>punktus laikyti atitinkamai 16, 17, 18, 19, 20, 21, 22, 23, 2</w:t>
      </w:r>
      <w:r>
        <w:rPr>
          <w:szCs w:val="24"/>
        </w:rPr>
        <w:t>4, 25, 26, 27</w:t>
      </w:r>
      <w:r>
        <w:rPr>
          <w:color w:val="000000"/>
          <w:szCs w:val="24"/>
        </w:rPr>
        <w:t xml:space="preserve">, 28, 29 </w:t>
      </w:r>
      <w:r>
        <w:rPr>
          <w:szCs w:val="24"/>
        </w:rPr>
        <w:t xml:space="preserve">punktais. </w:t>
      </w:r>
    </w:p>
    <w:p w14:paraId="3B732023" w14:textId="77777777" w:rsidR="009A2DDD" w:rsidRDefault="00667E0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Pakeisti Kodekso priedo 16 punktą ir jį išdėstyti taip:</w:t>
      </w:r>
    </w:p>
    <w:p w14:paraId="3B732024" w14:textId="77777777" w:rsidR="009A2DDD" w:rsidRDefault="00667E07">
      <w:pPr>
        <w:spacing w:line="360" w:lineRule="auto"/>
        <w:ind w:firstLine="72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„</w:t>
      </w:r>
      <w:r>
        <w:rPr>
          <w:rFonts w:eastAsia="Calibri"/>
          <w:bCs/>
          <w:szCs w:val="24"/>
        </w:rPr>
        <w:t>16</w:t>
      </w:r>
      <w:r>
        <w:rPr>
          <w:rFonts w:eastAsia="Calibri"/>
          <w:bCs/>
          <w:szCs w:val="24"/>
        </w:rPr>
        <w:t xml:space="preserve">. 2005 m. liepos 12 d. Tarybos pamatinis sprendimas 2005/667/TVR dėl baudžiamosios teisės sistemos stiprinimo įgyvendinant teršimui iš laivų taikomą teisę </w:t>
      </w:r>
      <w:r>
        <w:rPr>
          <w:rFonts w:eastAsia="Calibri"/>
          <w:bCs/>
          <w:szCs w:val="24"/>
        </w:rPr>
        <w:t>(OL 2005 L 255, p. 164).“</w:t>
      </w:r>
    </w:p>
    <w:p w14:paraId="3B732025" w14:textId="77777777" w:rsidR="009A2DDD" w:rsidRDefault="00667E07">
      <w:pPr>
        <w:spacing w:line="360" w:lineRule="auto"/>
        <w:ind w:firstLine="720"/>
        <w:jc w:val="both"/>
      </w:pPr>
      <w:r>
        <w:t>4</w:t>
      </w:r>
      <w:r>
        <w:t>. Papildyti Kodekso priedą 30 punktu:</w:t>
      </w:r>
    </w:p>
    <w:p w14:paraId="3B732026" w14:textId="77777777" w:rsidR="009A2DDD" w:rsidRDefault="00667E07">
      <w:pPr>
        <w:spacing w:line="360" w:lineRule="auto"/>
        <w:ind w:firstLine="720"/>
        <w:jc w:val="both"/>
      </w:pPr>
      <w:r>
        <w:t>„</w:t>
      </w:r>
      <w:r>
        <w:rPr>
          <w:bCs/>
        </w:rPr>
        <w:t>30</w:t>
      </w:r>
      <w:r>
        <w:rPr>
          <w:bCs/>
        </w:rPr>
        <w:t>. 2013 m. rugpjūčio 12 d. Europos Parlamento ir Tarybos direktyva 2013/40/ES dėl atakų prieš informacines sistemas, kuria pakeičiamas Tarybos pamatinis sprendimas 2005/222/TVR (O</w:t>
      </w:r>
      <w:r>
        <w:rPr>
          <w:bCs/>
        </w:rPr>
        <w:t>L 2013 L 218, p. 8).</w:t>
      </w:r>
      <w:r>
        <w:t>“</w:t>
      </w:r>
    </w:p>
    <w:p w14:paraId="3B732027" w14:textId="77777777" w:rsidR="009A2DDD" w:rsidRDefault="00667E07">
      <w:pPr>
        <w:spacing w:line="360" w:lineRule="auto"/>
        <w:ind w:firstLine="720"/>
        <w:jc w:val="both"/>
      </w:pPr>
    </w:p>
    <w:p w14:paraId="3B732028" w14:textId="77777777" w:rsidR="009A2DDD" w:rsidRDefault="00667E07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3B732029" w14:textId="77777777" w:rsidR="009A2DDD" w:rsidRDefault="009A2DDD">
      <w:pPr>
        <w:spacing w:line="360" w:lineRule="auto"/>
        <w:rPr>
          <w:i/>
          <w:szCs w:val="24"/>
        </w:rPr>
      </w:pPr>
    </w:p>
    <w:p w14:paraId="3B73202A" w14:textId="77777777" w:rsidR="009A2DDD" w:rsidRDefault="009A2DDD">
      <w:pPr>
        <w:spacing w:line="360" w:lineRule="auto"/>
        <w:rPr>
          <w:i/>
          <w:szCs w:val="24"/>
        </w:rPr>
      </w:pPr>
    </w:p>
    <w:p w14:paraId="3B73202B" w14:textId="77777777" w:rsidR="009A2DDD" w:rsidRDefault="009A2DDD">
      <w:pPr>
        <w:spacing w:line="360" w:lineRule="auto"/>
      </w:pPr>
    </w:p>
    <w:p w14:paraId="3B73202C" w14:textId="77777777" w:rsidR="009A2DDD" w:rsidRDefault="00667E07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9A2D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32031" w14:textId="77777777" w:rsidR="009A2DDD" w:rsidRDefault="00667E0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3B732032" w14:textId="77777777" w:rsidR="009A2DDD" w:rsidRDefault="00667E0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2037" w14:textId="77777777" w:rsidR="009A2DDD" w:rsidRDefault="00667E0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B732038" w14:textId="77777777" w:rsidR="009A2DDD" w:rsidRDefault="009A2DD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2039" w14:textId="77777777" w:rsidR="009A2DDD" w:rsidRDefault="009A2DD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203B" w14:textId="77777777" w:rsidR="009A2DDD" w:rsidRDefault="009A2DD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3202F" w14:textId="77777777" w:rsidR="009A2DDD" w:rsidRDefault="00667E0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3B732030" w14:textId="77777777" w:rsidR="009A2DDD" w:rsidRDefault="00667E0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2033" w14:textId="77777777" w:rsidR="009A2DDD" w:rsidRDefault="00667E0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3B732034" w14:textId="77777777" w:rsidR="009A2DDD" w:rsidRDefault="009A2DD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2035" w14:textId="77777777" w:rsidR="009A2DDD" w:rsidRDefault="00667E07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3</w:t>
    </w:r>
    <w:r>
      <w:rPr>
        <w:szCs w:val="24"/>
        <w:lang w:val="en-US"/>
      </w:rPr>
      <w:fldChar w:fldCharType="end"/>
    </w:r>
  </w:p>
  <w:p w14:paraId="3B732036" w14:textId="77777777" w:rsidR="009A2DDD" w:rsidRDefault="009A2DD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203A" w14:textId="77777777" w:rsidR="009A2DDD" w:rsidRDefault="009A2DD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5"/>
    <w:rsid w:val="00667E07"/>
    <w:rsid w:val="009A2DDD"/>
    <w:rsid w:val="00D1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31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5818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2015-06-18T05:46:00Z</dcterms:created>
  <dc:creator>MANIUŠKIENĖ Violeta</dc:creator>
  <lastModifiedBy>GUMBYTĖ Danguolė</lastModifiedBy>
  <lastPrinted>2004-12-10T05:45:00Z</lastPrinted>
  <dcterms:modified xsi:type="dcterms:W3CDTF">2015-06-18T05:56:00Z</dcterms:modified>
  <revision>3</revision>
</coreProperties>
</file>