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EC17" w14:textId="77777777" w:rsidR="00220A01" w:rsidRDefault="00390467">
      <w:pPr>
        <w:tabs>
          <w:tab w:val="center" w:pos="4819"/>
          <w:tab w:val="right" w:pos="9638"/>
        </w:tabs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Autentiškas vertimas</w:t>
      </w:r>
    </w:p>
    <w:p w14:paraId="5339EC18" w14:textId="77777777" w:rsidR="00220A01" w:rsidRDefault="00390467">
      <w:pPr>
        <w:tabs>
          <w:tab w:val="center" w:pos="4819"/>
          <w:tab w:val="right" w:pos="9638"/>
        </w:tabs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Vyriausybės kanceliarijos</w:t>
      </w:r>
    </w:p>
    <w:p w14:paraId="5339EC19" w14:textId="77777777" w:rsidR="00220A01" w:rsidRDefault="00390467">
      <w:pPr>
        <w:tabs>
          <w:tab w:val="center" w:pos="4819"/>
          <w:tab w:val="right" w:pos="9638"/>
        </w:tabs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Administracinis departamentas</w:t>
      </w:r>
    </w:p>
    <w:p w14:paraId="5339EC1A" w14:textId="77777777" w:rsidR="00220A01" w:rsidRDefault="00390467">
      <w:pPr>
        <w:tabs>
          <w:tab w:val="center" w:pos="4819"/>
          <w:tab w:val="right" w:pos="9638"/>
        </w:tabs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2016 03 31</w:t>
      </w:r>
    </w:p>
    <w:p w14:paraId="5339EC1B" w14:textId="77777777" w:rsidR="00220A01" w:rsidRDefault="00220A01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</w:p>
    <w:p w14:paraId="5339EC1C" w14:textId="77777777" w:rsidR="00220A01" w:rsidRDefault="00220A01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</w:p>
    <w:p w14:paraId="5339EC1D" w14:textId="77777777" w:rsidR="00220A01" w:rsidRDefault="00220A01">
      <w:pPr>
        <w:rPr>
          <w:sz w:val="10"/>
          <w:szCs w:val="10"/>
        </w:rPr>
      </w:pPr>
    </w:p>
    <w:p w14:paraId="5339EC1E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1F" w14:textId="77777777" w:rsidR="00220A01" w:rsidRDefault="00220A01">
      <w:pPr>
        <w:rPr>
          <w:sz w:val="10"/>
          <w:szCs w:val="10"/>
        </w:rPr>
      </w:pPr>
    </w:p>
    <w:p w14:paraId="5339EC20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5339EC21" w14:textId="77777777" w:rsidR="00220A01" w:rsidRDefault="00220A01">
      <w:pPr>
        <w:rPr>
          <w:sz w:val="10"/>
          <w:szCs w:val="10"/>
        </w:rPr>
      </w:pPr>
    </w:p>
    <w:p w14:paraId="5339EC22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IR </w:t>
      </w:r>
    </w:p>
    <w:p w14:paraId="5339EC23" w14:textId="77777777" w:rsidR="00220A01" w:rsidRDefault="00220A01">
      <w:pPr>
        <w:rPr>
          <w:sz w:val="10"/>
          <w:szCs w:val="10"/>
        </w:rPr>
      </w:pPr>
    </w:p>
    <w:p w14:paraId="5339EC24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TURKIJOS RESPUBLIKOS</w:t>
      </w:r>
    </w:p>
    <w:p w14:paraId="5339EC25" w14:textId="77777777" w:rsidR="00220A01" w:rsidRDefault="00220A01">
      <w:pPr>
        <w:rPr>
          <w:sz w:val="10"/>
          <w:szCs w:val="10"/>
        </w:rPr>
      </w:pPr>
    </w:p>
    <w:p w14:paraId="5339EC26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SUSITARIMAS</w:t>
      </w:r>
    </w:p>
    <w:p w14:paraId="5339EC27" w14:textId="77777777" w:rsidR="00220A01" w:rsidRDefault="00220A01">
      <w:pPr>
        <w:rPr>
          <w:sz w:val="10"/>
          <w:szCs w:val="10"/>
        </w:rPr>
      </w:pPr>
    </w:p>
    <w:p w14:paraId="5339EC28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DĖL EKONOMINIO IR PREKYBINIO BENDRADARBIAVIMO</w:t>
      </w:r>
    </w:p>
    <w:p w14:paraId="5339EC29" w14:textId="77777777" w:rsidR="00220A01" w:rsidRDefault="00220A01">
      <w:pPr>
        <w:rPr>
          <w:sz w:val="10"/>
          <w:szCs w:val="10"/>
        </w:rPr>
      </w:pPr>
    </w:p>
    <w:p w14:paraId="5339EC2A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2B" w14:textId="77777777" w:rsidR="00220A01" w:rsidRDefault="00220A01">
      <w:pPr>
        <w:rPr>
          <w:sz w:val="10"/>
          <w:szCs w:val="10"/>
        </w:rPr>
      </w:pPr>
    </w:p>
    <w:p w14:paraId="5339EC2C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2D" w14:textId="77777777" w:rsidR="00220A01" w:rsidRDefault="00220A01">
      <w:pPr>
        <w:rPr>
          <w:sz w:val="10"/>
          <w:szCs w:val="10"/>
        </w:rPr>
      </w:pPr>
    </w:p>
    <w:p w14:paraId="5339EC2E" w14:textId="4575B195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Lietuvos Respublikos Vyriausybė ir Turkijos </w:t>
      </w:r>
      <w:r>
        <w:rPr>
          <w:szCs w:val="24"/>
        </w:rPr>
        <w:t>Respublikos Vyriausybė (toliau – Susitariančiosios Šalys),</w:t>
      </w:r>
    </w:p>
    <w:p w14:paraId="5339EC2F" w14:textId="4EEEA892" w:rsidR="00220A01" w:rsidRDefault="00220A01">
      <w:pPr>
        <w:rPr>
          <w:sz w:val="10"/>
          <w:szCs w:val="10"/>
        </w:rPr>
      </w:pPr>
    </w:p>
    <w:p w14:paraId="5339EC30" w14:textId="61F88BF4" w:rsidR="00220A01" w:rsidRDefault="00390467">
      <w:pPr>
        <w:tabs>
          <w:tab w:val="left" w:pos="426"/>
        </w:tabs>
        <w:spacing w:line="300" w:lineRule="atLeast"/>
        <w:ind w:right="-1" w:firstLine="709"/>
        <w:jc w:val="both"/>
        <w:rPr>
          <w:szCs w:val="24"/>
        </w:rPr>
      </w:pPr>
      <w:r>
        <w:rPr>
          <w:i/>
          <w:szCs w:val="24"/>
        </w:rPr>
        <w:t>siekdamos</w:t>
      </w:r>
      <w:r>
        <w:rPr>
          <w:szCs w:val="24"/>
        </w:rPr>
        <w:t xml:space="preserve"> skatinti ir įvairinti abipusiškai naudingus, pastovius ir darnius ekonominius ir prekybinius abiejų valstybių santykius;</w:t>
      </w:r>
    </w:p>
    <w:p w14:paraId="5339EC31" w14:textId="77777777" w:rsidR="00220A01" w:rsidRDefault="00220A01">
      <w:pPr>
        <w:rPr>
          <w:sz w:val="10"/>
          <w:szCs w:val="10"/>
        </w:rPr>
      </w:pPr>
    </w:p>
    <w:p w14:paraId="5339EC32" w14:textId="77777777" w:rsidR="00220A01" w:rsidRDefault="00390467">
      <w:pPr>
        <w:tabs>
          <w:tab w:val="left" w:pos="284"/>
        </w:tabs>
        <w:spacing w:line="300" w:lineRule="atLeast"/>
        <w:ind w:right="-1" w:firstLine="709"/>
        <w:jc w:val="both"/>
        <w:rPr>
          <w:szCs w:val="24"/>
        </w:rPr>
      </w:pPr>
      <w:r>
        <w:rPr>
          <w:i/>
          <w:szCs w:val="24"/>
        </w:rPr>
        <w:t>pasiryžusios</w:t>
      </w:r>
      <w:r>
        <w:rPr>
          <w:szCs w:val="24"/>
        </w:rPr>
        <w:t xml:space="preserve"> puoselėti draugiškus santykius vadovaudamosi lygy</w:t>
      </w:r>
      <w:r>
        <w:rPr>
          <w:szCs w:val="24"/>
        </w:rPr>
        <w:t>bės, abipusės pagarbos ir abipusės naudos principais,</w:t>
      </w:r>
    </w:p>
    <w:p w14:paraId="5339EC33" w14:textId="2788C837" w:rsidR="00220A01" w:rsidRDefault="00390467">
      <w:pPr>
        <w:rPr>
          <w:sz w:val="10"/>
          <w:szCs w:val="10"/>
        </w:rPr>
      </w:pPr>
    </w:p>
    <w:p w14:paraId="5339EC34" w14:textId="5D838F08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i/>
          <w:szCs w:val="24"/>
        </w:rPr>
        <w:t>nusprendė</w:t>
      </w:r>
      <w:r>
        <w:rPr>
          <w:szCs w:val="24"/>
        </w:rPr>
        <w:t xml:space="preserve"> sudaryti Lietuvos Respublikos ir Turkijos Respublikos susitarimą dėl ekonominio ir prekybinio bendradarbiavimo.</w:t>
      </w:r>
    </w:p>
    <w:p w14:paraId="5339EC35" w14:textId="77777777" w:rsidR="00220A01" w:rsidRDefault="00220A01">
      <w:pPr>
        <w:rPr>
          <w:sz w:val="10"/>
          <w:szCs w:val="10"/>
        </w:rPr>
      </w:pPr>
    </w:p>
    <w:p w14:paraId="5339EC36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37" w14:textId="2EC8842D" w:rsidR="00220A01" w:rsidRDefault="00390467">
      <w:pPr>
        <w:rPr>
          <w:sz w:val="10"/>
          <w:szCs w:val="10"/>
        </w:rPr>
      </w:pPr>
    </w:p>
    <w:p w14:paraId="5339EC38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</w:t>
      </w:r>
    </w:p>
    <w:p w14:paraId="5339EC39" w14:textId="77777777" w:rsidR="00220A01" w:rsidRDefault="00220A01">
      <w:pPr>
        <w:rPr>
          <w:sz w:val="10"/>
          <w:szCs w:val="10"/>
        </w:rPr>
      </w:pPr>
    </w:p>
    <w:p w14:paraId="5339EC3A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Susitariančiosios Šalys imasi reikiamų priemonių siekdamos</w:t>
      </w:r>
      <w:r>
        <w:rPr>
          <w:szCs w:val="24"/>
        </w:rPr>
        <w:t xml:space="preserve"> plėtoti ir įvairinti ilgalaikius, pastovius ir darnius prekybinius santykius ir plėsti ekonominį bendradarbiavimą atsižvelgiant į turimas galimybes ir vadovaujantis galiojančiais nacionalinės teisės aktais.</w:t>
      </w:r>
    </w:p>
    <w:p w14:paraId="5339EC3B" w14:textId="77777777" w:rsidR="00220A01" w:rsidRDefault="00220A01">
      <w:pPr>
        <w:rPr>
          <w:sz w:val="10"/>
          <w:szCs w:val="10"/>
        </w:rPr>
      </w:pPr>
    </w:p>
    <w:p w14:paraId="5339EC3C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Šiuo tikslu Susitariančiosios Šalys sudaro reik</w:t>
      </w:r>
      <w:r>
        <w:rPr>
          <w:szCs w:val="24"/>
        </w:rPr>
        <w:t>iamas palankias sąlygas nuolatiniam atitinkamų organizacijų bendradarbiavimui užtikrinti.</w:t>
      </w:r>
    </w:p>
    <w:p w14:paraId="5339EC3D" w14:textId="77777777" w:rsidR="00220A01" w:rsidRDefault="00220A01">
      <w:pPr>
        <w:rPr>
          <w:sz w:val="10"/>
          <w:szCs w:val="10"/>
        </w:rPr>
      </w:pPr>
    </w:p>
    <w:p w14:paraId="5339EC3E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3F" w14:textId="77777777" w:rsidR="00220A01" w:rsidRDefault="00390467">
      <w:pPr>
        <w:rPr>
          <w:sz w:val="10"/>
          <w:szCs w:val="10"/>
        </w:rPr>
      </w:pPr>
    </w:p>
    <w:p w14:paraId="5339EC40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</w:t>
      </w:r>
    </w:p>
    <w:p w14:paraId="5339EC41" w14:textId="77777777" w:rsidR="00220A01" w:rsidRDefault="00220A01">
      <w:pPr>
        <w:rPr>
          <w:sz w:val="10"/>
          <w:szCs w:val="10"/>
        </w:rPr>
      </w:pPr>
    </w:p>
    <w:p w14:paraId="5339EC42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Susitariančiosios Šalys suteikia viena kitai didžiausio palankumo statusą taikant muito ir kitus mokesčius kiekvienos valstybės importui ir </w:t>
      </w:r>
      <w:r>
        <w:rPr>
          <w:szCs w:val="24"/>
        </w:rPr>
        <w:t>eksportui.</w:t>
      </w:r>
    </w:p>
    <w:p w14:paraId="5339EC43" w14:textId="77777777" w:rsidR="00220A01" w:rsidRDefault="00220A01">
      <w:pPr>
        <w:rPr>
          <w:sz w:val="10"/>
          <w:szCs w:val="10"/>
        </w:rPr>
      </w:pPr>
    </w:p>
    <w:p w14:paraId="5339EC44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Ši nuostata netaikoma:</w:t>
      </w:r>
    </w:p>
    <w:p w14:paraId="5339EC45" w14:textId="77777777" w:rsidR="00220A01" w:rsidRDefault="00220A01">
      <w:pPr>
        <w:rPr>
          <w:sz w:val="10"/>
          <w:szCs w:val="10"/>
        </w:rPr>
      </w:pPr>
    </w:p>
    <w:p w14:paraId="5339EC46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lengvatoms, kurios suteikiamos kaimyninėms valstybėms siekiant palengvinti tarpvalstybinę prekybą;</w:t>
      </w:r>
    </w:p>
    <w:p w14:paraId="5339EC47" w14:textId="77777777" w:rsidR="00220A01" w:rsidRDefault="00390467">
      <w:pPr>
        <w:rPr>
          <w:sz w:val="10"/>
          <w:szCs w:val="10"/>
        </w:rPr>
      </w:pPr>
    </w:p>
    <w:p w14:paraId="5339EC48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) lengvatoms, kylančioms iš susitarimų, kuriais sukuriama muitų sąjunga ar laisvosios prekybos erdvė, kurios </w:t>
      </w:r>
      <w:r>
        <w:rPr>
          <w:szCs w:val="24"/>
        </w:rPr>
        <w:t>dalyvė yra ar gali tapti viena iš šalių;</w:t>
      </w:r>
    </w:p>
    <w:p w14:paraId="5339EC49" w14:textId="77777777" w:rsidR="00220A01" w:rsidRDefault="00390467">
      <w:pPr>
        <w:rPr>
          <w:sz w:val="10"/>
          <w:szCs w:val="10"/>
        </w:rPr>
      </w:pPr>
    </w:p>
    <w:p w14:paraId="5339EC4A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lengvatoms, kurios suteikiamos siekiant sudaryti su besivystančiomis šalimis specialius susitarimus ekonominių ir prekybinių santykių srityje.</w:t>
      </w:r>
    </w:p>
    <w:p w14:paraId="5339EC4B" w14:textId="77777777" w:rsidR="00220A01" w:rsidRDefault="00220A01">
      <w:pPr>
        <w:rPr>
          <w:sz w:val="10"/>
          <w:szCs w:val="10"/>
        </w:rPr>
      </w:pPr>
    </w:p>
    <w:p w14:paraId="5339EC4C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4D" w14:textId="77777777" w:rsidR="00220A01" w:rsidRDefault="00390467">
      <w:pPr>
        <w:rPr>
          <w:sz w:val="10"/>
          <w:szCs w:val="10"/>
        </w:rPr>
      </w:pPr>
    </w:p>
    <w:p w14:paraId="5339EC4E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</w:t>
      </w:r>
    </w:p>
    <w:p w14:paraId="5339EC4F" w14:textId="77777777" w:rsidR="00220A01" w:rsidRDefault="00220A01">
      <w:pPr>
        <w:rPr>
          <w:sz w:val="10"/>
          <w:szCs w:val="10"/>
        </w:rPr>
      </w:pPr>
    </w:p>
    <w:p w14:paraId="5339EC50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Susitariančiosios Šalys imasi reikiamų </w:t>
      </w:r>
      <w:r>
        <w:rPr>
          <w:szCs w:val="24"/>
        </w:rPr>
        <w:t>priemonių, kad pavyzdžiams, laikinai įvežtiems į valstybę, ir prekėms, laikinai įvežtoms demonstruoti mugėse, būtų netaikomi muito ir kiti mokesčiai.</w:t>
      </w:r>
    </w:p>
    <w:p w14:paraId="5339EC51" w14:textId="77777777" w:rsidR="00220A01" w:rsidRDefault="00220A01">
      <w:pPr>
        <w:rPr>
          <w:sz w:val="10"/>
          <w:szCs w:val="10"/>
        </w:rPr>
      </w:pPr>
    </w:p>
    <w:p w14:paraId="5339EC52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53" w14:textId="77777777" w:rsidR="00220A01" w:rsidRDefault="00390467">
      <w:pPr>
        <w:rPr>
          <w:sz w:val="10"/>
          <w:szCs w:val="10"/>
        </w:rPr>
      </w:pPr>
    </w:p>
    <w:p w14:paraId="5339EC54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</w:t>
      </w:r>
    </w:p>
    <w:p w14:paraId="5339EC55" w14:textId="77777777" w:rsidR="00220A01" w:rsidRDefault="00220A01">
      <w:pPr>
        <w:rPr>
          <w:sz w:val="10"/>
          <w:szCs w:val="10"/>
        </w:rPr>
      </w:pPr>
    </w:p>
    <w:p w14:paraId="5339EC56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Susitariančiosios Šalys, siekdamos gerinti ir įvairinti dvišalę prekybą tarp jų val</w:t>
      </w:r>
      <w:r>
        <w:rPr>
          <w:szCs w:val="24"/>
        </w:rPr>
        <w:t xml:space="preserve">stybių, susitaria palengvinti ir pagreitinti keitimąsi informacija, paskatinti savo verslininkų ryšius ir remti jų dalyvavimą abiejose valstybėse rengiamose tarptautinėse parodose ir mugėse. </w:t>
      </w:r>
    </w:p>
    <w:p w14:paraId="5339EC57" w14:textId="77777777" w:rsidR="00220A01" w:rsidRDefault="00220A01">
      <w:pPr>
        <w:rPr>
          <w:sz w:val="10"/>
          <w:szCs w:val="10"/>
        </w:rPr>
      </w:pPr>
    </w:p>
    <w:p w14:paraId="5339EC58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59" w14:textId="77777777" w:rsidR="00220A01" w:rsidRDefault="00390467">
      <w:pPr>
        <w:rPr>
          <w:sz w:val="10"/>
          <w:szCs w:val="10"/>
        </w:rPr>
      </w:pPr>
    </w:p>
    <w:p w14:paraId="5339EC5A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</w:t>
      </w:r>
    </w:p>
    <w:p w14:paraId="5339EC5B" w14:textId="77777777" w:rsidR="00220A01" w:rsidRDefault="00220A01">
      <w:pPr>
        <w:rPr>
          <w:sz w:val="10"/>
          <w:szCs w:val="10"/>
        </w:rPr>
      </w:pPr>
    </w:p>
    <w:p w14:paraId="5339EC5C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Susitariančiosios Šalys susitaria, kad </w:t>
      </w:r>
      <w:r>
        <w:rPr>
          <w:szCs w:val="24"/>
        </w:rPr>
        <w:t>eksporto ir importo licencijas pagal šį Susitarimą sudarytoms sutartims vykdyti išduoda atitinkamos jų institucijos vadovaudamosi kiekvienoje valstybėje galiojančiais teisės aktais.</w:t>
      </w:r>
    </w:p>
    <w:p w14:paraId="5339EC5D" w14:textId="77777777" w:rsidR="00220A01" w:rsidRDefault="00220A01">
      <w:pPr>
        <w:rPr>
          <w:sz w:val="10"/>
          <w:szCs w:val="10"/>
        </w:rPr>
      </w:pPr>
    </w:p>
    <w:p w14:paraId="5339EC5E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5F" w14:textId="77777777" w:rsidR="00220A01" w:rsidRDefault="00390467">
      <w:pPr>
        <w:rPr>
          <w:sz w:val="10"/>
          <w:szCs w:val="10"/>
        </w:rPr>
      </w:pPr>
    </w:p>
    <w:p w14:paraId="5339EC60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</w:t>
      </w:r>
    </w:p>
    <w:p w14:paraId="5339EC61" w14:textId="77777777" w:rsidR="00220A01" w:rsidRDefault="00220A01">
      <w:pPr>
        <w:rPr>
          <w:sz w:val="10"/>
          <w:szCs w:val="10"/>
        </w:rPr>
      </w:pPr>
    </w:p>
    <w:p w14:paraId="5339EC62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Susitariančiosios Šalys įvardija šias galimas bendr</w:t>
      </w:r>
      <w:r>
        <w:rPr>
          <w:szCs w:val="24"/>
        </w:rPr>
        <w:t>adarbiavimo sritis:</w:t>
      </w:r>
    </w:p>
    <w:p w14:paraId="5339EC63" w14:textId="77777777" w:rsidR="00220A01" w:rsidRDefault="00220A01">
      <w:pPr>
        <w:rPr>
          <w:sz w:val="10"/>
          <w:szCs w:val="10"/>
        </w:rPr>
      </w:pPr>
    </w:p>
    <w:p w14:paraId="5339EC64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žemės ūkis ir maisto pramonė;</w:t>
      </w:r>
    </w:p>
    <w:p w14:paraId="5339EC65" w14:textId="77777777" w:rsidR="00220A01" w:rsidRDefault="00220A01">
      <w:pPr>
        <w:rPr>
          <w:sz w:val="10"/>
          <w:szCs w:val="10"/>
        </w:rPr>
      </w:pPr>
    </w:p>
    <w:p w14:paraId="5339EC66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maisto pramonės įrangos gamyba;</w:t>
      </w:r>
    </w:p>
    <w:p w14:paraId="5339EC67" w14:textId="77777777" w:rsidR="00220A01" w:rsidRDefault="00220A01">
      <w:pPr>
        <w:rPr>
          <w:sz w:val="10"/>
          <w:szCs w:val="10"/>
        </w:rPr>
      </w:pPr>
    </w:p>
    <w:p w14:paraId="5339EC68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staklių gamyba;</w:t>
      </w:r>
    </w:p>
    <w:p w14:paraId="5339EC69" w14:textId="77777777" w:rsidR="00220A01" w:rsidRDefault="00220A01">
      <w:pPr>
        <w:rPr>
          <w:sz w:val="10"/>
          <w:szCs w:val="10"/>
        </w:rPr>
      </w:pPr>
    </w:p>
    <w:p w14:paraId="5339EC6A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ryšių ir informacinės sistemos;</w:t>
      </w:r>
    </w:p>
    <w:p w14:paraId="5339EC6B" w14:textId="77777777" w:rsidR="00220A01" w:rsidRDefault="00220A01">
      <w:pPr>
        <w:rPr>
          <w:sz w:val="10"/>
          <w:szCs w:val="10"/>
        </w:rPr>
      </w:pPr>
    </w:p>
    <w:p w14:paraId="5339EC6C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statybos ir rangos darbai;</w:t>
      </w:r>
    </w:p>
    <w:p w14:paraId="5339EC6D" w14:textId="77777777" w:rsidR="00220A01" w:rsidRDefault="00220A01">
      <w:pPr>
        <w:rPr>
          <w:sz w:val="10"/>
          <w:szCs w:val="10"/>
        </w:rPr>
      </w:pPr>
    </w:p>
    <w:p w14:paraId="5339EC6E" w14:textId="77777777" w:rsidR="00220A01" w:rsidRDefault="00390467">
      <w:pPr>
        <w:spacing w:line="300" w:lineRule="atLeast"/>
        <w:ind w:left="1069" w:right="-1" w:hanging="36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paslaugų infrastruktūra.</w:t>
      </w:r>
    </w:p>
    <w:p w14:paraId="5339EC6F" w14:textId="77777777" w:rsidR="00220A01" w:rsidRDefault="00220A01">
      <w:pPr>
        <w:rPr>
          <w:sz w:val="10"/>
          <w:szCs w:val="10"/>
        </w:rPr>
      </w:pPr>
    </w:p>
    <w:p w14:paraId="5339EC70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71" w14:textId="77777777" w:rsidR="00220A01" w:rsidRDefault="00390467">
      <w:pPr>
        <w:rPr>
          <w:sz w:val="10"/>
          <w:szCs w:val="10"/>
        </w:rPr>
      </w:pPr>
    </w:p>
    <w:p w14:paraId="5339EC72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</w:t>
      </w:r>
    </w:p>
    <w:p w14:paraId="5339EC73" w14:textId="77777777" w:rsidR="00220A01" w:rsidRDefault="00220A01">
      <w:pPr>
        <w:rPr>
          <w:sz w:val="10"/>
          <w:szCs w:val="10"/>
        </w:rPr>
      </w:pPr>
    </w:p>
    <w:p w14:paraId="5339EC74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Pagal pripažintą tarptautinę </w:t>
      </w:r>
      <w:r>
        <w:rPr>
          <w:szCs w:val="24"/>
        </w:rPr>
        <w:t>praktiką mokėjimai, susiję su prekybiniais mainais ir ekonominiais santykiais, vykdomi konvertuojama valiuta vadovaujantis kiekvienoje valstybėje galiojančiais teisės aktais.</w:t>
      </w:r>
    </w:p>
    <w:p w14:paraId="5339EC75" w14:textId="77777777" w:rsidR="00220A01" w:rsidRDefault="00220A01">
      <w:pPr>
        <w:rPr>
          <w:sz w:val="10"/>
          <w:szCs w:val="10"/>
        </w:rPr>
      </w:pPr>
    </w:p>
    <w:p w14:paraId="5339EC76" w14:textId="77777777" w:rsidR="00220A01" w:rsidRDefault="00220A01">
      <w:pPr>
        <w:spacing w:line="300" w:lineRule="atLeast"/>
        <w:ind w:right="-1"/>
        <w:jc w:val="center"/>
        <w:rPr>
          <w:b/>
          <w:szCs w:val="24"/>
        </w:rPr>
      </w:pPr>
    </w:p>
    <w:p w14:paraId="5339EC77" w14:textId="77777777" w:rsidR="00220A01" w:rsidRDefault="00390467">
      <w:pPr>
        <w:rPr>
          <w:sz w:val="10"/>
          <w:szCs w:val="10"/>
        </w:rPr>
      </w:pPr>
    </w:p>
    <w:p w14:paraId="5339EC78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 xml:space="preserve"> straipsnis</w:t>
      </w:r>
    </w:p>
    <w:p w14:paraId="5339EC79" w14:textId="77777777" w:rsidR="00220A01" w:rsidRDefault="00220A01">
      <w:pPr>
        <w:rPr>
          <w:sz w:val="10"/>
          <w:szCs w:val="10"/>
        </w:rPr>
      </w:pPr>
    </w:p>
    <w:p w14:paraId="5339EC7A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Atsižvelgdamos į bankininkystės svarbą plėtojant dvišalę </w:t>
      </w:r>
      <w:r>
        <w:rPr>
          <w:szCs w:val="24"/>
        </w:rPr>
        <w:t>ekonominę ir prekybinę veiklą, Susitariančiosios Šalys susitaria remti savo bankų bendradarbiavimą siekdamos įgyvendinti šiuolaikinės bankininkystės sistemos standartus.</w:t>
      </w:r>
    </w:p>
    <w:p w14:paraId="5339EC7B" w14:textId="77777777" w:rsidR="00220A01" w:rsidRDefault="00220A01">
      <w:pPr>
        <w:rPr>
          <w:sz w:val="10"/>
          <w:szCs w:val="10"/>
        </w:rPr>
      </w:pPr>
    </w:p>
    <w:p w14:paraId="5339EC7C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7D" w14:textId="77777777" w:rsidR="00220A01" w:rsidRDefault="00390467">
      <w:pPr>
        <w:rPr>
          <w:sz w:val="10"/>
          <w:szCs w:val="10"/>
        </w:rPr>
      </w:pPr>
    </w:p>
    <w:p w14:paraId="5339EC7E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9</w:t>
      </w:r>
      <w:r>
        <w:rPr>
          <w:b/>
          <w:szCs w:val="24"/>
        </w:rPr>
        <w:t xml:space="preserve"> straipsnis</w:t>
      </w:r>
    </w:p>
    <w:p w14:paraId="5339EC7F" w14:textId="77777777" w:rsidR="00220A01" w:rsidRDefault="00220A01">
      <w:pPr>
        <w:rPr>
          <w:sz w:val="10"/>
          <w:szCs w:val="10"/>
        </w:rPr>
      </w:pPr>
    </w:p>
    <w:p w14:paraId="5339EC80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Susitariančiosios Šalys nusprendžia įsteigti tarpvyriausybinę j</w:t>
      </w:r>
      <w:r>
        <w:rPr>
          <w:szCs w:val="24"/>
        </w:rPr>
        <w:t>ungtinę Lietuvos ir Turkijos ekonomikos komisiją, kurios tikslas – stebėti šio Susitarimo įgyvendinimą, spręsti su jo įgyvendinimu susijusius klausimus ir teikti savo Vyriausybėms rekomendacijas, kaip toliau plėtoti dvišalius ekonominius ir prekybinius san</w:t>
      </w:r>
      <w:r>
        <w:rPr>
          <w:szCs w:val="24"/>
        </w:rPr>
        <w:t>tykius. Šią Komisiją sudaro abiejų Vyriausybių atstovai; Komisija pakaitomis posėdžiauja Ankaroje ir Vilniuje abipusiškai priimtinu metu.</w:t>
      </w:r>
    </w:p>
    <w:p w14:paraId="5339EC81" w14:textId="77777777" w:rsidR="00220A01" w:rsidRDefault="00220A01">
      <w:pPr>
        <w:rPr>
          <w:sz w:val="10"/>
          <w:szCs w:val="10"/>
        </w:rPr>
      </w:pPr>
    </w:p>
    <w:p w14:paraId="5339EC82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83" w14:textId="77777777" w:rsidR="00220A01" w:rsidRDefault="00390467">
      <w:pPr>
        <w:rPr>
          <w:sz w:val="10"/>
          <w:szCs w:val="10"/>
        </w:rPr>
      </w:pPr>
    </w:p>
    <w:p w14:paraId="5339EC84" w14:textId="77777777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10</w:t>
      </w:r>
      <w:r>
        <w:rPr>
          <w:b/>
          <w:szCs w:val="24"/>
        </w:rPr>
        <w:t xml:space="preserve"> straipsnis</w:t>
      </w:r>
    </w:p>
    <w:p w14:paraId="5339EC85" w14:textId="77777777" w:rsidR="00220A01" w:rsidRDefault="00220A01">
      <w:pPr>
        <w:rPr>
          <w:sz w:val="10"/>
          <w:szCs w:val="10"/>
        </w:rPr>
      </w:pPr>
    </w:p>
    <w:p w14:paraId="5339EC86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Jei tai būtina bendradarbiavimo pagal šį Susitarimą labui, Susitariančiosios Šalys susitaria d</w:t>
      </w:r>
      <w:r>
        <w:rPr>
          <w:szCs w:val="24"/>
        </w:rPr>
        <w:t>ėl abipusiškai priimtinų pakeitimų ir papildymų.</w:t>
      </w:r>
    </w:p>
    <w:p w14:paraId="5339EC87" w14:textId="77777777" w:rsidR="00220A01" w:rsidRDefault="00220A01">
      <w:pPr>
        <w:rPr>
          <w:sz w:val="10"/>
          <w:szCs w:val="10"/>
        </w:rPr>
      </w:pPr>
    </w:p>
    <w:p w14:paraId="5339EC88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Šio Susitarimo pakeitimai ar jo nutraukimas neturi jokio poveikio teisėms ar įsipareigojimams, kurie įgyjami ar atsiranda iš šio Susitarimo dar iki tokio pakeitimo ar nutraukimo įsigaliojimo.</w:t>
      </w:r>
    </w:p>
    <w:p w14:paraId="5339EC89" w14:textId="77777777" w:rsidR="00220A01" w:rsidRDefault="00220A01">
      <w:pPr>
        <w:rPr>
          <w:sz w:val="10"/>
          <w:szCs w:val="10"/>
        </w:rPr>
      </w:pPr>
    </w:p>
    <w:p w14:paraId="5339EC8A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8B" w14:textId="77777777" w:rsidR="00220A01" w:rsidRDefault="00390467">
      <w:pPr>
        <w:rPr>
          <w:sz w:val="10"/>
          <w:szCs w:val="10"/>
        </w:rPr>
      </w:pPr>
    </w:p>
    <w:p w14:paraId="5339EC8C" w14:textId="26CA6711" w:rsidR="00220A01" w:rsidRDefault="00390467">
      <w:pPr>
        <w:spacing w:line="300" w:lineRule="atLeast"/>
        <w:ind w:right="-1"/>
        <w:jc w:val="center"/>
        <w:rPr>
          <w:b/>
          <w:szCs w:val="24"/>
        </w:rPr>
      </w:pPr>
      <w:r>
        <w:rPr>
          <w:b/>
          <w:szCs w:val="24"/>
        </w:rPr>
        <w:t>11</w:t>
      </w:r>
      <w:r>
        <w:rPr>
          <w:b/>
          <w:szCs w:val="24"/>
        </w:rPr>
        <w:t xml:space="preserve"> st</w:t>
      </w:r>
      <w:r>
        <w:rPr>
          <w:b/>
          <w:szCs w:val="24"/>
        </w:rPr>
        <w:t>raipsnis</w:t>
      </w:r>
    </w:p>
    <w:p w14:paraId="5339EC8D" w14:textId="77777777" w:rsidR="00220A01" w:rsidRDefault="00220A01">
      <w:pPr>
        <w:rPr>
          <w:sz w:val="10"/>
          <w:szCs w:val="10"/>
        </w:rPr>
      </w:pPr>
    </w:p>
    <w:p w14:paraId="5339EC8E" w14:textId="09973ECF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Šis Susitarimas įsigalioja tą dieną, kai Susitariančiosios Šalys praneša viena kitai baigusios ratifikavimo procedūras ir galioja 5 metų laikotarpį.</w:t>
      </w:r>
    </w:p>
    <w:p w14:paraId="5339EC8F" w14:textId="77777777" w:rsidR="00220A01" w:rsidRDefault="00220A01">
      <w:pPr>
        <w:rPr>
          <w:sz w:val="10"/>
          <w:szCs w:val="10"/>
        </w:rPr>
      </w:pPr>
    </w:p>
    <w:p w14:paraId="5339EC90" w14:textId="77777777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 xml:space="preserve">Šis Susitarimas savaime pratęsiamas 1 metų laikotarpiui, jei likus 6 mėnesiams iki jo galiojimo </w:t>
      </w:r>
      <w:r>
        <w:rPr>
          <w:szCs w:val="24"/>
        </w:rPr>
        <w:t>pabaigos bet kuri iš Susitariančiųjų Šalių raštu nepraneša kitaip.</w:t>
      </w:r>
    </w:p>
    <w:p w14:paraId="5339EC91" w14:textId="77777777" w:rsidR="00220A01" w:rsidRDefault="00220A01">
      <w:pPr>
        <w:rPr>
          <w:sz w:val="10"/>
          <w:szCs w:val="10"/>
        </w:rPr>
      </w:pPr>
    </w:p>
    <w:p w14:paraId="5339EC92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5339EC93" w14:textId="0C887DBE" w:rsidR="00220A01" w:rsidRDefault="00390467">
      <w:pPr>
        <w:rPr>
          <w:sz w:val="10"/>
          <w:szCs w:val="10"/>
        </w:rPr>
      </w:pPr>
    </w:p>
    <w:p w14:paraId="5339EC94" w14:textId="0423C12D" w:rsidR="00220A01" w:rsidRDefault="00390467">
      <w:pPr>
        <w:spacing w:line="300" w:lineRule="atLeast"/>
        <w:ind w:right="-1" w:firstLine="709"/>
        <w:jc w:val="both"/>
        <w:rPr>
          <w:szCs w:val="24"/>
        </w:rPr>
      </w:pPr>
      <w:r>
        <w:rPr>
          <w:szCs w:val="24"/>
        </w:rPr>
        <w:t>Pasirašyta 1992 m. rugpjūčio 27 d. Izmyre dviem originaliais egzemplioriais anglų kalba.</w:t>
      </w:r>
    </w:p>
    <w:p w14:paraId="5339EC95" w14:textId="6EA9D380" w:rsidR="00220A01" w:rsidRDefault="00390467">
      <w:pPr>
        <w:rPr>
          <w:sz w:val="10"/>
          <w:szCs w:val="10"/>
        </w:rPr>
      </w:pPr>
    </w:p>
    <w:p w14:paraId="5339EC96" w14:textId="4836FFD3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p w14:paraId="156D3C9A" w14:textId="77777777" w:rsidR="00390467" w:rsidRDefault="00390467">
      <w:pPr>
        <w:spacing w:line="300" w:lineRule="atLeast"/>
        <w:ind w:right="-1" w:firstLine="709"/>
        <w:jc w:val="both"/>
        <w:rPr>
          <w:szCs w:val="24"/>
        </w:rPr>
      </w:pPr>
    </w:p>
    <w:p w14:paraId="5339EC97" w14:textId="77777777" w:rsidR="00220A01" w:rsidRDefault="00220A01">
      <w:pPr>
        <w:rPr>
          <w:sz w:val="10"/>
          <w:szCs w:val="10"/>
        </w:rPr>
      </w:pPr>
    </w:p>
    <w:p w14:paraId="5339EC98" w14:textId="77777777" w:rsidR="00220A01" w:rsidRDefault="00220A01">
      <w:pPr>
        <w:spacing w:line="300" w:lineRule="atLeast"/>
        <w:ind w:right="-1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220A01" w14:paraId="5339EC9D" w14:textId="77777777">
        <w:tc>
          <w:tcPr>
            <w:tcW w:w="4814" w:type="dxa"/>
          </w:tcPr>
          <w:p w14:paraId="5339EC99" w14:textId="77777777" w:rsidR="00220A01" w:rsidRDefault="00220A01">
            <w:pPr>
              <w:rPr>
                <w:sz w:val="10"/>
                <w:szCs w:val="10"/>
              </w:rPr>
            </w:pPr>
            <w:bookmarkStart w:id="0" w:name="_GoBack" w:colFirst="0" w:colLast="0"/>
          </w:p>
          <w:p w14:paraId="5339EC9A" w14:textId="77777777" w:rsidR="00220A01" w:rsidRDefault="00390467">
            <w:pPr>
              <w:spacing w:line="300" w:lineRule="atLeast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LIETUVOS RESPUBLIKOS</w:t>
            </w:r>
            <w:r>
              <w:rPr>
                <w:b/>
                <w:szCs w:val="24"/>
              </w:rPr>
              <w:br/>
              <w:t>VYRIAUSYBĖS VARDU</w:t>
            </w:r>
          </w:p>
        </w:tc>
        <w:tc>
          <w:tcPr>
            <w:tcW w:w="4814" w:type="dxa"/>
          </w:tcPr>
          <w:p w14:paraId="5339EC9B" w14:textId="77777777" w:rsidR="00220A01" w:rsidRDefault="00220A01">
            <w:pPr>
              <w:rPr>
                <w:sz w:val="10"/>
                <w:szCs w:val="10"/>
              </w:rPr>
            </w:pPr>
          </w:p>
          <w:p w14:paraId="5339EC9C" w14:textId="77777777" w:rsidR="00220A01" w:rsidRDefault="00390467">
            <w:pPr>
              <w:spacing w:line="300" w:lineRule="atLeast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TURKIJOS RESPUBLIKOS</w:t>
            </w:r>
            <w:r>
              <w:rPr>
                <w:b/>
                <w:szCs w:val="24"/>
              </w:rPr>
              <w:br/>
              <w:t>VYRIAUSYBĖS VARDU</w:t>
            </w:r>
          </w:p>
        </w:tc>
      </w:tr>
      <w:bookmarkEnd w:id="0"/>
    </w:tbl>
    <w:p w14:paraId="5339EC9E" w14:textId="77777777" w:rsidR="00220A01" w:rsidRDefault="00220A01">
      <w:pPr>
        <w:rPr>
          <w:sz w:val="10"/>
          <w:szCs w:val="10"/>
        </w:rPr>
      </w:pPr>
    </w:p>
    <w:p w14:paraId="5339EC9F" w14:textId="63C99A72" w:rsidR="00220A01" w:rsidRDefault="00390467">
      <w:pPr>
        <w:spacing w:line="300" w:lineRule="atLeast"/>
        <w:ind w:right="-1" w:firstLine="709"/>
        <w:jc w:val="both"/>
        <w:rPr>
          <w:szCs w:val="24"/>
        </w:rPr>
      </w:pPr>
    </w:p>
    <w:sectPr w:rsidR="00220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ECA2" w14:textId="77777777" w:rsidR="00220A01" w:rsidRDefault="00390467">
      <w:pPr>
        <w:ind w:firstLine="709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339ECA3" w14:textId="77777777" w:rsidR="00220A01" w:rsidRDefault="00390467">
      <w:pPr>
        <w:ind w:firstLine="709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6" w14:textId="77777777" w:rsidR="00220A01" w:rsidRDefault="00220A01">
    <w:pPr>
      <w:tabs>
        <w:tab w:val="center" w:pos="4819"/>
        <w:tab w:val="right" w:pos="9638"/>
      </w:tabs>
      <w:ind w:firstLine="709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7" w14:textId="77777777" w:rsidR="00220A01" w:rsidRDefault="00220A01">
    <w:pPr>
      <w:tabs>
        <w:tab w:val="center" w:pos="4819"/>
        <w:tab w:val="right" w:pos="9638"/>
      </w:tabs>
      <w:ind w:firstLine="709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9" w14:textId="77777777" w:rsidR="00220A01" w:rsidRDefault="00220A01">
    <w:pPr>
      <w:tabs>
        <w:tab w:val="center" w:pos="4819"/>
        <w:tab w:val="right" w:pos="9638"/>
      </w:tabs>
      <w:ind w:firstLine="709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ECA0" w14:textId="77777777" w:rsidR="00220A01" w:rsidRDefault="00390467">
      <w:pPr>
        <w:ind w:firstLine="709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339ECA1" w14:textId="77777777" w:rsidR="00220A01" w:rsidRDefault="00390467">
      <w:pPr>
        <w:ind w:firstLine="709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4" w14:textId="77777777" w:rsidR="00220A01" w:rsidRDefault="00220A01">
    <w:pPr>
      <w:tabs>
        <w:tab w:val="center" w:pos="4819"/>
        <w:tab w:val="right" w:pos="9638"/>
      </w:tabs>
      <w:ind w:firstLine="709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5" w14:textId="77777777" w:rsidR="00220A01" w:rsidRDefault="00390467">
    <w:pPr>
      <w:tabs>
        <w:tab w:val="center" w:pos="4819"/>
      </w:tabs>
      <w:jc w:val="center"/>
      <w:rPr>
        <w:szCs w:val="24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CA8" w14:textId="77777777" w:rsidR="00220A01" w:rsidRDefault="00220A01">
    <w:pPr>
      <w:tabs>
        <w:tab w:val="center" w:pos="4819"/>
        <w:tab w:val="right" w:pos="9638"/>
      </w:tabs>
      <w:ind w:firstLine="709"/>
      <w:jc w:val="both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6"/>
    <w:rsid w:val="00220A01"/>
    <w:rsid w:val="00264956"/>
    <w:rsid w:val="003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904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90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F"/>
    <w:rsid w:val="00A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0C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0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www.urm.lt</Company>
  <LinksUpToDate>false</LinksUpToDate>
  <CharactersWithSpaces>4583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2016-04-01T13:09:00Z</dcterms:created>
  <dc:creator>Dalia Čekatauskienė</dc:creator>
  <lastModifiedBy>SEIMAS</lastModifiedBy>
  <lastPrinted>2016-03-31T10:03:00Z</lastPrinted>
  <dcterms:modified xsi:type="dcterms:W3CDTF">2016-04-01T18:09:00Z</dcterms:modified>
  <revision>3</revision>
</coreProperties>
</file>