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24B28" w14:textId="77777777" w:rsidR="00493EE8" w:rsidRDefault="00493EE8">
      <w:pPr>
        <w:tabs>
          <w:tab w:val="center" w:pos="4320"/>
          <w:tab w:val="right" w:pos="8640"/>
        </w:tabs>
        <w:rPr>
          <w:sz w:val="20"/>
        </w:rPr>
      </w:pPr>
    </w:p>
    <w:p w14:paraId="05424B29" w14:textId="77777777" w:rsidR="00493EE8" w:rsidRDefault="004F17AA">
      <w:pPr>
        <w:jc w:val="center"/>
        <w:rPr>
          <w:b/>
          <w:szCs w:val="24"/>
        </w:rPr>
      </w:pPr>
      <w:r>
        <w:rPr>
          <w:b/>
          <w:noProof/>
          <w:sz w:val="28"/>
          <w:lang w:eastAsia="lt-LT"/>
        </w:rPr>
        <w:drawing>
          <wp:inline distT="0" distB="0" distL="0" distR="0" wp14:anchorId="05424B5F" wp14:editId="05424B60">
            <wp:extent cx="495300" cy="600075"/>
            <wp:effectExtent l="0" t="0" r="0" b="9525"/>
            <wp:docPr id="1" name="Picture 1" descr="PanevezioHerb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nevezioHerba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24B2A" w14:textId="77777777" w:rsidR="00493EE8" w:rsidRDefault="00493EE8">
      <w:pPr>
        <w:jc w:val="center"/>
        <w:rPr>
          <w:b/>
          <w:szCs w:val="24"/>
        </w:rPr>
      </w:pPr>
    </w:p>
    <w:p w14:paraId="05424B2B" w14:textId="77777777" w:rsidR="00493EE8" w:rsidRDefault="004F1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PANEVĖŽIO MIESTO SAVIVALDYBĖS TARYBA</w:t>
      </w:r>
    </w:p>
    <w:p w14:paraId="05424B2C" w14:textId="77777777" w:rsidR="00493EE8" w:rsidRDefault="00493EE8">
      <w:pPr>
        <w:tabs>
          <w:tab w:val="left" w:pos="709"/>
        </w:tabs>
        <w:jc w:val="center"/>
        <w:rPr>
          <w:szCs w:val="24"/>
          <w:lang w:eastAsia="lt-LT"/>
        </w:rPr>
      </w:pPr>
    </w:p>
    <w:p w14:paraId="05424B2D" w14:textId="77777777" w:rsidR="00493EE8" w:rsidRDefault="004F17AA">
      <w:pPr>
        <w:keepNext/>
        <w:jc w:val="center"/>
        <w:outlineLvl w:val="1"/>
        <w:rPr>
          <w:b/>
          <w:szCs w:val="24"/>
        </w:rPr>
      </w:pPr>
      <w:r>
        <w:rPr>
          <w:b/>
          <w:szCs w:val="24"/>
        </w:rPr>
        <w:t>SPRENDIMAS</w:t>
      </w:r>
    </w:p>
    <w:p w14:paraId="05424B2E" w14:textId="77777777" w:rsidR="00493EE8" w:rsidRDefault="004F17AA">
      <w:pPr>
        <w:tabs>
          <w:tab w:val="left" w:pos="10341"/>
        </w:tabs>
        <w:jc w:val="center"/>
        <w:rPr>
          <w:b/>
          <w:szCs w:val="24"/>
        </w:rPr>
      </w:pPr>
      <w:r>
        <w:rPr>
          <w:b/>
          <w:szCs w:val="24"/>
        </w:rPr>
        <w:t>DĖL MOKESČIO UŽ DARBUOTOJŲ MAITINIMĄSI SAVIVALDYBĖS IKIMOKYKLINIO UGDYMO MOKYKLOSE TVARKOS APRAŠO PATVIRTINIMO IR SAVIVALDYBĖS TARYBOS 2013 M. KOVO 28 D. SPRENDIMO NR. 1-71 PRIPAŽINIMO NETEKUSIU GALIOS</w:t>
      </w:r>
    </w:p>
    <w:p w14:paraId="05424B2F" w14:textId="77777777" w:rsidR="00493EE8" w:rsidRDefault="00493EE8">
      <w:pPr>
        <w:tabs>
          <w:tab w:val="left" w:pos="10341"/>
        </w:tabs>
        <w:jc w:val="center"/>
        <w:rPr>
          <w:szCs w:val="24"/>
        </w:rPr>
      </w:pPr>
    </w:p>
    <w:p w14:paraId="05424B30" w14:textId="77777777" w:rsidR="00493EE8" w:rsidRDefault="004F17AA">
      <w:pPr>
        <w:jc w:val="center"/>
        <w:rPr>
          <w:szCs w:val="24"/>
        </w:rPr>
      </w:pPr>
      <w:r>
        <w:rPr>
          <w:szCs w:val="24"/>
        </w:rPr>
        <w:t>2017 m. spalio 19 d. Nr. 1-335</w:t>
      </w:r>
    </w:p>
    <w:p w14:paraId="05424B31" w14:textId="77777777" w:rsidR="00493EE8" w:rsidRDefault="004F17AA">
      <w:pPr>
        <w:keepNext/>
        <w:jc w:val="center"/>
        <w:outlineLvl w:val="2"/>
        <w:rPr>
          <w:szCs w:val="24"/>
        </w:rPr>
      </w:pPr>
      <w:r>
        <w:rPr>
          <w:szCs w:val="24"/>
        </w:rPr>
        <w:t>Panevėžys</w:t>
      </w:r>
    </w:p>
    <w:p w14:paraId="05424B32" w14:textId="77777777" w:rsidR="00493EE8" w:rsidRDefault="00493EE8">
      <w:pPr>
        <w:jc w:val="center"/>
        <w:rPr>
          <w:szCs w:val="24"/>
        </w:rPr>
      </w:pPr>
    </w:p>
    <w:p w14:paraId="05424B33" w14:textId="77777777" w:rsidR="00493EE8" w:rsidRDefault="00493EE8">
      <w:pPr>
        <w:spacing w:line="360" w:lineRule="auto"/>
        <w:jc w:val="center"/>
        <w:rPr>
          <w:szCs w:val="24"/>
        </w:rPr>
      </w:pPr>
    </w:p>
    <w:p w14:paraId="05424B34" w14:textId="6768C4CE" w:rsidR="00493EE8" w:rsidRDefault="004F17AA">
      <w:pPr>
        <w:tabs>
          <w:tab w:val="left" w:pos="709"/>
        </w:tabs>
        <w:spacing w:line="360" w:lineRule="auto"/>
        <w:ind w:firstLine="851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18 straipsnio 1 dalimi, </w:t>
      </w:r>
      <w:r>
        <w:rPr>
          <w:color w:val="000000"/>
          <w:szCs w:val="24"/>
          <w:lang w:eastAsia="lt-LT"/>
        </w:rPr>
        <w:t>6 </w:t>
      </w:r>
      <w:r>
        <w:rPr>
          <w:color w:val="000000"/>
          <w:szCs w:val="24"/>
          <w:lang w:eastAsia="lt-LT"/>
        </w:rPr>
        <w:t xml:space="preserve">straipsnio 10 punktu, 16 straipsnio 2 dalies 37 punktu, </w:t>
      </w:r>
      <w:r>
        <w:rPr>
          <w:szCs w:val="24"/>
          <w:lang w:eastAsia="lt-LT"/>
        </w:rPr>
        <w:t>Maitinimo organizavimo ikimokyklinio ugdymo, bendrojo ugdymo mokyklo</w:t>
      </w:r>
      <w:r>
        <w:rPr>
          <w:szCs w:val="24"/>
          <w:lang w:eastAsia="lt-LT"/>
        </w:rPr>
        <w:t xml:space="preserve">se ir vaikų socialinės globos įstaigose tvarkos aprašu, patvirtintu Lietuvos Respublikos sveikatos apsaugos ministro 2011 m. lapkričio 11 d. įsakymu Nr. V-964, vykdydama Panevėžio miesto savivaldybės </w:t>
      </w:r>
      <w:r>
        <w:rPr>
          <w:color w:val="000000"/>
          <w:szCs w:val="24"/>
          <w:lang w:eastAsia="lt-LT"/>
        </w:rPr>
        <w:t xml:space="preserve">kontrolės ir audito tarnybos 2017 m. liepos 10 d. rašto </w:t>
      </w:r>
      <w:r>
        <w:rPr>
          <w:color w:val="000000"/>
          <w:szCs w:val="24"/>
          <w:lang w:eastAsia="lt-LT"/>
        </w:rPr>
        <w:t>Nr. S-104 „Dėl audito metu nustatytų klaidų, pažeidimų, neatitikimų“ 1.1 rekomendaciją</w:t>
      </w:r>
      <w:r>
        <w:rPr>
          <w:color w:val="FF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ir</w:t>
      </w:r>
      <w:r>
        <w:rPr>
          <w:szCs w:val="24"/>
          <w:lang w:eastAsia="lt-LT"/>
        </w:rPr>
        <w:t xml:space="preserve"> atsižvelgdama į darbo grupės </w:t>
      </w:r>
      <w:r>
        <w:rPr>
          <w:color w:val="000000"/>
          <w:szCs w:val="24"/>
          <w:lang w:eastAsia="lt-LT"/>
        </w:rPr>
        <w:t>maitinimo išlaidų dydžiui Savivaldybės ikimokyklinio ugdymo mokyklų darbuotojams nustatyti ir Mokesčio už darbuotojų maitinimąsi Savivald</w:t>
      </w:r>
      <w:r>
        <w:rPr>
          <w:color w:val="000000"/>
          <w:szCs w:val="24"/>
          <w:lang w:eastAsia="lt-LT"/>
        </w:rPr>
        <w:t xml:space="preserve">ybės ikimokyklinio ugdymo mokyklose tvarkos aprašui tobulinti, sudarytos Panevėžio miesto savivaldybės administracijos direktoriaus 2017 m. birželio 20 d. įsakymu Nr. A-600, 2017 m. spalio 2 d. išvadas Nr. D2-459, </w:t>
      </w:r>
      <w:r>
        <w:rPr>
          <w:szCs w:val="24"/>
          <w:lang w:eastAsia="lt-LT"/>
        </w:rPr>
        <w:t xml:space="preserve">Panevėžio miesto savivaldybės taryba  </w:t>
      </w:r>
      <w:r>
        <w:rPr>
          <w:color w:val="000000"/>
          <w:szCs w:val="24"/>
          <w:lang w:eastAsia="lt-LT"/>
        </w:rPr>
        <w:t xml:space="preserve">n u </w:t>
      </w:r>
      <w:r>
        <w:rPr>
          <w:color w:val="000000"/>
          <w:szCs w:val="24"/>
          <w:lang w:eastAsia="lt-LT"/>
        </w:rPr>
        <w:t>s p r e n d ž i a:</w:t>
      </w:r>
    </w:p>
    <w:p w14:paraId="05424B35" w14:textId="77777777" w:rsidR="00493EE8" w:rsidRDefault="004F17AA">
      <w:pPr>
        <w:spacing w:line="360" w:lineRule="auto"/>
        <w:ind w:firstLine="851"/>
        <w:jc w:val="both"/>
        <w:rPr>
          <w:spacing w:val="60"/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Patvirtinti M</w:t>
      </w:r>
      <w:r>
        <w:rPr>
          <w:color w:val="000000"/>
          <w:szCs w:val="24"/>
          <w:lang w:eastAsia="lt-LT"/>
        </w:rPr>
        <w:t>okesčio už darbuotojų maitinimąsi Savivaldybės ikimokyklinio ugdymo mokyklose tvarkos aprašą</w:t>
      </w:r>
      <w:r>
        <w:rPr>
          <w:szCs w:val="24"/>
          <w:lang w:eastAsia="lt-LT"/>
        </w:rPr>
        <w:t xml:space="preserve"> (pridedama).</w:t>
      </w:r>
    </w:p>
    <w:p w14:paraId="05424B39" w14:textId="0219D912" w:rsidR="00493EE8" w:rsidRDefault="004F17AA" w:rsidP="004F17AA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Pripažinti netekusiu galios Panevėžio miesto savivaldybės tarybos 2013 m. kovo 28 d. sprendimą Nr. 1-71 </w:t>
      </w:r>
      <w:r>
        <w:rPr>
          <w:szCs w:val="24"/>
        </w:rPr>
        <w:t>„Dėl Mokesčio už darbuotojų maitinimąsi Savivaldybės ikimokyklinio ugdymo mokyklose tvarkos aprašo patvirtinimo“.</w:t>
      </w:r>
    </w:p>
    <w:p w14:paraId="7F486DCE" w14:textId="77777777" w:rsidR="004F17AA" w:rsidRDefault="004F17AA">
      <w:pPr>
        <w:tabs>
          <w:tab w:val="left" w:pos="6804"/>
        </w:tabs>
      </w:pPr>
    </w:p>
    <w:p w14:paraId="3A3514F2" w14:textId="77777777" w:rsidR="004F17AA" w:rsidRDefault="004F17AA">
      <w:pPr>
        <w:tabs>
          <w:tab w:val="left" w:pos="6804"/>
        </w:tabs>
      </w:pPr>
    </w:p>
    <w:p w14:paraId="21716953" w14:textId="77777777" w:rsidR="004F17AA" w:rsidRDefault="004F17AA">
      <w:pPr>
        <w:tabs>
          <w:tab w:val="left" w:pos="6804"/>
        </w:tabs>
      </w:pPr>
    </w:p>
    <w:p w14:paraId="05424B3A" w14:textId="18A983E1" w:rsidR="00493EE8" w:rsidRDefault="004F17AA">
      <w:pPr>
        <w:tabs>
          <w:tab w:val="left" w:pos="6804"/>
        </w:tabs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  <w:t>Rytis Mykolas Račkauskas</w:t>
      </w:r>
    </w:p>
    <w:p w14:paraId="05424B3B" w14:textId="77777777" w:rsidR="00493EE8" w:rsidRDefault="004F17AA" w:rsidP="004F17AA">
      <w:pPr>
        <w:spacing w:line="276" w:lineRule="auto"/>
        <w:ind w:left="4962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PATVIRTINTA</w:t>
      </w:r>
    </w:p>
    <w:p w14:paraId="05424B3C" w14:textId="77777777" w:rsidR="00493EE8" w:rsidRDefault="004F17AA">
      <w:pPr>
        <w:tabs>
          <w:tab w:val="left" w:pos="4678"/>
        </w:tabs>
        <w:ind w:right="567" w:firstLine="4962"/>
        <w:rPr>
          <w:szCs w:val="24"/>
        </w:rPr>
      </w:pPr>
      <w:r>
        <w:rPr>
          <w:szCs w:val="24"/>
        </w:rPr>
        <w:t>Panevėžio miesto savivaldybės tarybos</w:t>
      </w:r>
    </w:p>
    <w:p w14:paraId="05424B3D" w14:textId="77777777" w:rsidR="00493EE8" w:rsidRDefault="004F17AA">
      <w:pPr>
        <w:tabs>
          <w:tab w:val="left" w:pos="4678"/>
        </w:tabs>
        <w:ind w:right="567" w:firstLine="4962"/>
        <w:rPr>
          <w:szCs w:val="24"/>
        </w:rPr>
      </w:pPr>
      <w:r>
        <w:rPr>
          <w:szCs w:val="24"/>
        </w:rPr>
        <w:t xml:space="preserve">2017 m. spalio 19 d. sprendimu Nr. </w:t>
      </w:r>
      <w:r>
        <w:rPr>
          <w:szCs w:val="24"/>
        </w:rPr>
        <w:t>1-335</w:t>
      </w:r>
    </w:p>
    <w:p w14:paraId="05424B3E" w14:textId="77777777" w:rsidR="00493EE8" w:rsidRDefault="00493EE8">
      <w:pPr>
        <w:suppressAutoHyphens/>
        <w:ind w:left="5040" w:right="567"/>
        <w:jc w:val="both"/>
        <w:rPr>
          <w:b/>
          <w:szCs w:val="24"/>
          <w:lang w:eastAsia="ar-SA"/>
        </w:rPr>
      </w:pPr>
    </w:p>
    <w:p w14:paraId="05424B3F" w14:textId="77777777" w:rsidR="00493EE8" w:rsidRDefault="00493EE8">
      <w:pPr>
        <w:suppressAutoHyphens/>
        <w:ind w:left="5040" w:right="567"/>
        <w:jc w:val="both"/>
        <w:rPr>
          <w:b/>
          <w:szCs w:val="24"/>
          <w:lang w:eastAsia="ar-SA"/>
        </w:rPr>
      </w:pPr>
    </w:p>
    <w:p w14:paraId="05424B40" w14:textId="77777777" w:rsidR="00493EE8" w:rsidRDefault="004F17AA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MOKESČIO UŽ DARBUOTOJŲ MAITINIMĄSI SAVIVALDYBĖS IKIMOKYKLINIO UGDYMO MOKYKLOSE TVARKOS APRAŠAS</w:t>
      </w:r>
    </w:p>
    <w:p w14:paraId="05424B41" w14:textId="77777777" w:rsidR="00493EE8" w:rsidRDefault="00493EE8">
      <w:pPr>
        <w:suppressAutoHyphens/>
        <w:jc w:val="center"/>
        <w:rPr>
          <w:b/>
          <w:szCs w:val="24"/>
          <w:lang w:eastAsia="ar-SA"/>
        </w:rPr>
      </w:pPr>
    </w:p>
    <w:p w14:paraId="05424B42" w14:textId="77777777" w:rsidR="00493EE8" w:rsidRDefault="004F17AA">
      <w:pPr>
        <w:jc w:val="center"/>
        <w:rPr>
          <w:b/>
          <w:szCs w:val="24"/>
        </w:rPr>
      </w:pPr>
      <w:r>
        <w:rPr>
          <w:b/>
          <w:szCs w:val="24"/>
        </w:rPr>
        <w:t>I</w:t>
      </w:r>
      <w:r>
        <w:rPr>
          <w:b/>
          <w:szCs w:val="24"/>
        </w:rPr>
        <w:t xml:space="preserve"> SKYRIUS</w:t>
      </w:r>
    </w:p>
    <w:p w14:paraId="05424B43" w14:textId="77777777" w:rsidR="00493EE8" w:rsidRDefault="004F17AA">
      <w:pPr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14:paraId="05424B44" w14:textId="77777777" w:rsidR="00493EE8" w:rsidRDefault="00493EE8">
      <w:pPr>
        <w:jc w:val="center"/>
        <w:rPr>
          <w:b/>
          <w:szCs w:val="24"/>
        </w:rPr>
      </w:pPr>
    </w:p>
    <w:p w14:paraId="05424B45" w14:textId="77777777" w:rsidR="00493EE8" w:rsidRDefault="004F17AA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Mokesčio už darbuotojų maitinimąsi Savivaldybės ikimokyklinio ugdymo mokyklose tvarkos aprašas (toliau – </w:t>
      </w:r>
      <w:r>
        <w:rPr>
          <w:szCs w:val="24"/>
        </w:rPr>
        <w:t>Aprašas) reglamentuoja šių įstaigų darbuotojų maitinimosi organizavimą, mokestį ir atsiskaitymą.</w:t>
      </w:r>
    </w:p>
    <w:p w14:paraId="05424B46" w14:textId="77777777" w:rsidR="00493EE8" w:rsidRDefault="004F17AA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Šiuo Aprašu vadovaujasi visos Savivaldybės ikimokyklinio ugdymo įstaigos, kurių steigėja yra Panevėžio miesto savivaldybės taryba.</w:t>
      </w:r>
    </w:p>
    <w:p w14:paraId="05424B47" w14:textId="77777777" w:rsidR="00493EE8" w:rsidRDefault="004F17AA">
      <w:pPr>
        <w:jc w:val="center"/>
        <w:rPr>
          <w:szCs w:val="24"/>
        </w:rPr>
      </w:pPr>
    </w:p>
    <w:p w14:paraId="05424B48" w14:textId="77777777" w:rsidR="00493EE8" w:rsidRDefault="004F17AA">
      <w:pPr>
        <w:jc w:val="center"/>
        <w:rPr>
          <w:b/>
          <w:szCs w:val="24"/>
        </w:rPr>
      </w:pPr>
      <w:r>
        <w:rPr>
          <w:b/>
          <w:szCs w:val="24"/>
        </w:rPr>
        <w:t>II</w:t>
      </w:r>
      <w:r>
        <w:rPr>
          <w:b/>
          <w:szCs w:val="24"/>
        </w:rPr>
        <w:t xml:space="preserve"> SKYRIUS</w:t>
      </w:r>
    </w:p>
    <w:p w14:paraId="05424B49" w14:textId="77777777" w:rsidR="00493EE8" w:rsidRDefault="004F17AA">
      <w:pPr>
        <w:jc w:val="center"/>
        <w:rPr>
          <w:b/>
          <w:szCs w:val="24"/>
        </w:rPr>
      </w:pPr>
      <w:r>
        <w:rPr>
          <w:b/>
          <w:szCs w:val="24"/>
        </w:rPr>
        <w:t>DAR</w:t>
      </w:r>
      <w:r>
        <w:rPr>
          <w:b/>
          <w:szCs w:val="24"/>
        </w:rPr>
        <w:t>BUOTOJŲ MAITINIMOSI ORGANIZAVIMAS</w:t>
      </w:r>
    </w:p>
    <w:p w14:paraId="05424B4A" w14:textId="77777777" w:rsidR="00493EE8" w:rsidRDefault="00493EE8">
      <w:pPr>
        <w:jc w:val="center"/>
        <w:rPr>
          <w:b/>
          <w:szCs w:val="24"/>
        </w:rPr>
      </w:pPr>
    </w:p>
    <w:p w14:paraId="05424B4B" w14:textId="77777777" w:rsidR="00493EE8" w:rsidRDefault="004F17AA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Norintys maitintis darbuotojai pateikia prašymus įstaigos vadovui iki einamųjų metų rugpjūčio 30 d.</w:t>
      </w:r>
    </w:p>
    <w:p w14:paraId="05424B4C" w14:textId="77777777" w:rsidR="00493EE8" w:rsidRDefault="004F17AA">
      <w:pPr>
        <w:spacing w:line="360" w:lineRule="auto"/>
        <w:ind w:firstLine="851"/>
        <w:jc w:val="both"/>
        <w:rPr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>. Prašyme turi būti nurodytas poreikis maitintis gaminamu maistu ikimokyklinio ugdymo mokykloje pagal pageida</w:t>
      </w:r>
      <w:r>
        <w:rPr>
          <w:color w:val="000000"/>
          <w:szCs w:val="24"/>
        </w:rPr>
        <w:t>ujamos dienos maitinimosi normą (pusryčiai, pietūs, vakarienė).</w:t>
      </w:r>
    </w:p>
    <w:p w14:paraId="05424B4D" w14:textId="77777777" w:rsidR="00493EE8" w:rsidRDefault="004F17AA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Ikimokyklinio ugdymo įstaigos vadovas iki einamųjų metų rugsėjo 1 d. parengia ir patvirtina darbuotojų, kurie pageidauja maitintis, sąrašą.</w:t>
      </w:r>
    </w:p>
    <w:p w14:paraId="05424B4E" w14:textId="77777777" w:rsidR="00493EE8" w:rsidRDefault="004F17AA">
      <w:pPr>
        <w:spacing w:line="360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>
        <w:rPr>
          <w:color w:val="000000"/>
          <w:szCs w:val="24"/>
        </w:rPr>
        <w:t>. Mokestis už darbuotojų maitinimąsi ati</w:t>
      </w:r>
      <w:r>
        <w:rPr>
          <w:color w:val="000000"/>
          <w:szCs w:val="24"/>
        </w:rPr>
        <w:t>tinka vyresniųjų grupių (darželio ir priešmokyklinių) vaikų porcijoms nustatytą mokestį su 30 procentų antkainiu.</w:t>
      </w:r>
    </w:p>
    <w:p w14:paraId="05424B4F" w14:textId="77777777" w:rsidR="00493EE8" w:rsidRDefault="004F17AA">
      <w:pPr>
        <w:spacing w:line="360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>
        <w:rPr>
          <w:color w:val="000000"/>
          <w:szCs w:val="24"/>
        </w:rPr>
        <w:t>. Darbuotojai turi teisę pasirinkti maitinimų skaičių, sumokėję nustatyto dydžio mokestį. Darbuotojai gali maitintis darbo vietoje arba t</w:t>
      </w:r>
      <w:r>
        <w:rPr>
          <w:color w:val="000000"/>
          <w:szCs w:val="24"/>
        </w:rPr>
        <w:t>am tikslui įrengtoje patalpoje. Pagamintus patiekalus ar maisto produktus išsinešti iš įstaigos draudžiama.</w:t>
      </w:r>
    </w:p>
    <w:p w14:paraId="05424B50" w14:textId="77777777" w:rsidR="00493EE8" w:rsidRDefault="004F17AA">
      <w:pPr>
        <w:spacing w:line="360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>
        <w:rPr>
          <w:color w:val="000000"/>
          <w:szCs w:val="24"/>
        </w:rPr>
        <w:t>. Darbuotojai, pageidaujantys maitintis, kiekvieną penktadienį informuoja atsakingą už maitinimo organizavimą asmenį dėl pageidaujamos kitos sa</w:t>
      </w:r>
      <w:r>
        <w:rPr>
          <w:color w:val="000000"/>
          <w:szCs w:val="24"/>
        </w:rPr>
        <w:t xml:space="preserve">vaitės mitybos poreikio (pusryčių, pietų, vakarienės), kuris fiksuojamas Darbuotojų maitinimosi apskaitos žiniaraštyje. </w:t>
      </w:r>
    </w:p>
    <w:p w14:paraId="05424B51" w14:textId="77777777" w:rsidR="00493EE8" w:rsidRDefault="004F17AA">
      <w:pPr>
        <w:tabs>
          <w:tab w:val="left" w:pos="12501"/>
        </w:tabs>
        <w:spacing w:line="360" w:lineRule="auto"/>
        <w:ind w:firstLine="851"/>
        <w:jc w:val="both"/>
        <w:rPr>
          <w:szCs w:val="24"/>
        </w:rPr>
      </w:pPr>
      <w:r>
        <w:rPr>
          <w:color w:val="000000"/>
          <w:szCs w:val="24"/>
        </w:rPr>
        <w:t>9</w:t>
      </w:r>
      <w:r>
        <w:rPr>
          <w:color w:val="000000"/>
          <w:szCs w:val="24"/>
        </w:rPr>
        <w:t>.</w:t>
      </w:r>
      <w:r>
        <w:rPr>
          <w:color w:val="FF0000"/>
          <w:szCs w:val="24"/>
        </w:rPr>
        <w:t xml:space="preserve"> </w:t>
      </w:r>
      <w:r>
        <w:rPr>
          <w:szCs w:val="24"/>
        </w:rPr>
        <w:t>Darbuotojų maitinimosi apskaitos žiniaraščio formą nustato ir tvirtina įstaigos vadovas.</w:t>
      </w:r>
    </w:p>
    <w:p w14:paraId="05424B52" w14:textId="77777777" w:rsidR="00493EE8" w:rsidRDefault="004F17AA">
      <w:pPr>
        <w:tabs>
          <w:tab w:val="left" w:pos="12501"/>
        </w:tabs>
        <w:jc w:val="center"/>
        <w:rPr>
          <w:color w:val="000000"/>
          <w:szCs w:val="24"/>
        </w:rPr>
      </w:pPr>
    </w:p>
    <w:p w14:paraId="05424B53" w14:textId="77777777" w:rsidR="00493EE8" w:rsidRDefault="004F17AA">
      <w:pPr>
        <w:tabs>
          <w:tab w:val="left" w:pos="12501"/>
        </w:tabs>
        <w:jc w:val="center"/>
        <w:rPr>
          <w:b/>
          <w:szCs w:val="24"/>
        </w:rPr>
      </w:pPr>
      <w:r>
        <w:rPr>
          <w:b/>
          <w:szCs w:val="24"/>
        </w:rPr>
        <w:t>III</w:t>
      </w:r>
      <w:r>
        <w:rPr>
          <w:b/>
          <w:szCs w:val="24"/>
        </w:rPr>
        <w:t xml:space="preserve"> SKYRIUS</w:t>
      </w:r>
    </w:p>
    <w:p w14:paraId="05424B54" w14:textId="77777777" w:rsidR="00493EE8" w:rsidRDefault="004F17AA">
      <w:pPr>
        <w:tabs>
          <w:tab w:val="left" w:pos="12501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MOKESČIO UŽ </w:t>
      </w:r>
      <w:r>
        <w:rPr>
          <w:b/>
          <w:caps/>
          <w:szCs w:val="24"/>
        </w:rPr>
        <w:t>DARBUOTOJŲ MAITINIMĄsi surinkimas</w:t>
      </w:r>
    </w:p>
    <w:p w14:paraId="05424B55" w14:textId="77777777" w:rsidR="00493EE8" w:rsidRDefault="00493EE8">
      <w:pPr>
        <w:tabs>
          <w:tab w:val="left" w:pos="12501"/>
        </w:tabs>
        <w:jc w:val="center"/>
        <w:rPr>
          <w:b/>
          <w:szCs w:val="24"/>
        </w:rPr>
      </w:pPr>
    </w:p>
    <w:p w14:paraId="05424B56" w14:textId="77777777" w:rsidR="00493EE8" w:rsidRDefault="004F17AA">
      <w:pPr>
        <w:tabs>
          <w:tab w:val="left" w:pos="12501"/>
        </w:tabs>
        <w:spacing w:line="360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10</w:t>
      </w:r>
      <w:r>
        <w:rPr>
          <w:color w:val="000000"/>
          <w:szCs w:val="24"/>
        </w:rPr>
        <w:t xml:space="preserve">. Mokestis už darbuotojų maitinimąsi turi būti sumokėtas už einamąjį mėnesį iki 27 dienos (vasario ir gruodžio mėnesiais – iki 25 dienos) bankiniu pavedimu į įstaigos nurodytą sąskaitą. </w:t>
      </w:r>
    </w:p>
    <w:p w14:paraId="05424B57" w14:textId="77777777" w:rsidR="00493EE8" w:rsidRDefault="004F17AA">
      <w:pPr>
        <w:tabs>
          <w:tab w:val="left" w:pos="12501"/>
        </w:tabs>
        <w:spacing w:line="360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11</w:t>
      </w:r>
      <w:r>
        <w:rPr>
          <w:color w:val="000000"/>
          <w:szCs w:val="24"/>
        </w:rPr>
        <w:t>. Už darbuotojų maitin</w:t>
      </w:r>
      <w:r>
        <w:rPr>
          <w:color w:val="000000"/>
          <w:szCs w:val="24"/>
        </w:rPr>
        <w:t>imąsi gautos lėšos panaudojamos maisto produktams, už nustatytą antkainį gautos lėšos panaudojamos įstaigos reikmėms – pagal Panevėžio miesto savivaldybės administracijos direktoriaus įsakymu patvirtintas rekomendacijas.</w:t>
      </w:r>
    </w:p>
    <w:p w14:paraId="05424B58" w14:textId="77777777" w:rsidR="00493EE8" w:rsidRDefault="004F17AA">
      <w:pPr>
        <w:jc w:val="center"/>
        <w:rPr>
          <w:color w:val="000000"/>
          <w:szCs w:val="24"/>
        </w:rPr>
      </w:pPr>
    </w:p>
    <w:p w14:paraId="05424B59" w14:textId="3C02DEB1" w:rsidR="00493EE8" w:rsidRDefault="004F17AA">
      <w:pPr>
        <w:jc w:val="center"/>
        <w:rPr>
          <w:b/>
          <w:szCs w:val="24"/>
        </w:rPr>
      </w:pPr>
      <w:r>
        <w:rPr>
          <w:b/>
          <w:color w:val="000000"/>
          <w:szCs w:val="24"/>
        </w:rPr>
        <w:t>IV</w:t>
      </w:r>
      <w:r>
        <w:rPr>
          <w:b/>
          <w:szCs w:val="24"/>
        </w:rPr>
        <w:t xml:space="preserve"> SKYRIUS</w:t>
      </w:r>
    </w:p>
    <w:p w14:paraId="05424B5A" w14:textId="77777777" w:rsidR="00493EE8" w:rsidRDefault="004F17AA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APRAŠO ĮGYVENDINI</w:t>
      </w:r>
      <w:r>
        <w:rPr>
          <w:b/>
          <w:color w:val="000000"/>
          <w:szCs w:val="24"/>
        </w:rPr>
        <w:t>MAS IR KONTROLĖS ORGANIZAVIMAS</w:t>
      </w:r>
    </w:p>
    <w:p w14:paraId="05424B5B" w14:textId="77777777" w:rsidR="00493EE8" w:rsidRDefault="00493EE8">
      <w:pPr>
        <w:jc w:val="center"/>
        <w:rPr>
          <w:color w:val="000000"/>
          <w:szCs w:val="24"/>
        </w:rPr>
      </w:pPr>
    </w:p>
    <w:p w14:paraId="05424B5C" w14:textId="77777777" w:rsidR="00493EE8" w:rsidRDefault="004F17AA">
      <w:pPr>
        <w:spacing w:line="360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12</w:t>
      </w:r>
      <w:r>
        <w:rPr>
          <w:color w:val="000000"/>
          <w:szCs w:val="24"/>
        </w:rPr>
        <w:t xml:space="preserve">. Už </w:t>
      </w:r>
      <w:r>
        <w:rPr>
          <w:szCs w:val="24"/>
        </w:rPr>
        <w:t>ikimokyklinio ugdymo mokyklos darbuotojų maitinimosi organizavimą</w:t>
      </w:r>
      <w:r>
        <w:rPr>
          <w:color w:val="000000"/>
          <w:szCs w:val="24"/>
        </w:rPr>
        <w:t xml:space="preserve"> atsakingas įstaigos vadovas.</w:t>
      </w:r>
    </w:p>
    <w:p w14:paraId="05424B5D" w14:textId="5CE77D8C" w:rsidR="00493EE8" w:rsidRDefault="004F17AA">
      <w:pPr>
        <w:spacing w:line="360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13</w:t>
      </w:r>
      <w:r>
        <w:rPr>
          <w:color w:val="000000"/>
          <w:szCs w:val="24"/>
        </w:rPr>
        <w:t>. Už Aprašo įgyvendinimą ir kontrolę atsakingas Panevėžio miesto savivaldybės administracijos Švietimo ir jaunim</w:t>
      </w:r>
      <w:r>
        <w:rPr>
          <w:color w:val="000000"/>
          <w:szCs w:val="24"/>
        </w:rPr>
        <w:t>o reikalų skyrius.</w:t>
      </w:r>
    </w:p>
    <w:bookmarkStart w:id="0" w:name="_GoBack" w:displacedByCustomXml="prev"/>
    <w:p w14:paraId="05424B5E" w14:textId="57ACCD07" w:rsidR="00493EE8" w:rsidRDefault="004F17AA">
      <w:pPr>
        <w:spacing w:line="36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_____________________________</w:t>
      </w:r>
    </w:p>
    <w:bookmarkEnd w:id="0" w:displacedByCustomXml="next"/>
    <w:sectPr w:rsidR="00493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24B63" w14:textId="77777777" w:rsidR="00493EE8" w:rsidRDefault="004F17AA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05424B64" w14:textId="77777777" w:rsidR="00493EE8" w:rsidRDefault="004F17AA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24B68" w14:textId="77777777" w:rsidR="00493EE8" w:rsidRDefault="004F17AA">
    <w:pPr>
      <w:framePr w:wrap="auto" w:vAnchor="text" w:hAnchor="margin" w:xAlign="right" w:y="1"/>
      <w:tabs>
        <w:tab w:val="center" w:pos="4320"/>
        <w:tab w:val="right" w:pos="8640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  <w:p w14:paraId="05424B69" w14:textId="77777777" w:rsidR="00493EE8" w:rsidRDefault="00493EE8">
    <w:pPr>
      <w:tabs>
        <w:tab w:val="center" w:pos="4320"/>
        <w:tab w:val="right" w:pos="8640"/>
      </w:tabs>
      <w:ind w:right="360" w:firstLine="36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24B6A" w14:textId="77777777" w:rsidR="00493EE8" w:rsidRDefault="00493EE8">
    <w:pPr>
      <w:framePr w:wrap="auto" w:vAnchor="text" w:hAnchor="margin" w:xAlign="right" w:y="1"/>
      <w:tabs>
        <w:tab w:val="center" w:pos="4320"/>
        <w:tab w:val="right" w:pos="8640"/>
      </w:tabs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24B6C" w14:textId="77777777" w:rsidR="00493EE8" w:rsidRDefault="00493EE8">
    <w:pPr>
      <w:tabs>
        <w:tab w:val="center" w:pos="4320"/>
        <w:tab w:val="right" w:pos="864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24B61" w14:textId="77777777" w:rsidR="00493EE8" w:rsidRDefault="004F17AA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05424B62" w14:textId="77777777" w:rsidR="00493EE8" w:rsidRDefault="004F17AA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24B65" w14:textId="77777777" w:rsidR="00493EE8" w:rsidRDefault="004F17AA">
    <w:pPr>
      <w:framePr w:wrap="auto" w:vAnchor="text" w:hAnchor="margin" w:xAlign="center" w:y="1"/>
      <w:tabs>
        <w:tab w:val="center" w:pos="4320"/>
        <w:tab w:val="right" w:pos="8640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end"/>
    </w:r>
  </w:p>
  <w:p w14:paraId="05424B66" w14:textId="77777777" w:rsidR="00493EE8" w:rsidRDefault="00493EE8">
    <w:pPr>
      <w:tabs>
        <w:tab w:val="center" w:pos="4320"/>
        <w:tab w:val="right" w:pos="8640"/>
      </w:tabs>
      <w:ind w:right="360" w:firstLine="36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24B67" w14:textId="77777777" w:rsidR="00493EE8" w:rsidRDefault="004F17AA">
    <w:pPr>
      <w:tabs>
        <w:tab w:val="center" w:pos="4320"/>
        <w:tab w:val="right" w:pos="8640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>
      <w:rPr>
        <w:noProof/>
        <w:szCs w:val="24"/>
      </w:rPr>
      <w:t>3</w:t>
    </w:r>
    <w:r>
      <w:rPr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24B6B" w14:textId="77777777" w:rsidR="00493EE8" w:rsidRDefault="00493EE8">
    <w:pPr>
      <w:tabs>
        <w:tab w:val="center" w:pos="4320"/>
        <w:tab w:val="right" w:pos="8640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99"/>
    <w:rsid w:val="00493EE8"/>
    <w:rsid w:val="004F17AA"/>
    <w:rsid w:val="00DA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24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17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17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B8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E3EB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E3E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3867</Characters>
  <Application>Microsoft Office Word</Application>
  <DocSecurity>0</DocSecurity>
  <Lines>32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RESPUBLIKA</vt:lpstr>
      <vt:lpstr>LIETUVOS RESPUBLIKA</vt:lpstr>
    </vt:vector>
  </TitlesOfParts>
  <Company>PMS</Company>
  <LinksUpToDate>false</LinksUpToDate>
  <CharactersWithSpaces>4385</CharactersWithSpaces>
  <SharedDoc>false</SharedDoc>
  <HyperlinkBase/>
  <HLinks>
    <vt:vector size="6" baseType="variant">
      <vt:variant>
        <vt:i4>4391028</vt:i4>
      </vt:variant>
      <vt:variant>
        <vt:i4>0</vt:i4>
      </vt:variant>
      <vt:variant>
        <vt:i4>0</vt:i4>
      </vt:variant>
      <vt:variant>
        <vt:i4>5</vt:i4>
      </vt:variant>
      <vt:variant>
        <vt:lpwstr>http://www.panevezys.lt/lt/struktura-ir-kontaktai_144/kontaktai/184.html?view=details;type=ajax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2017-10-19T11:05:00Z</dcterms:created>
  <dc:creator>Toma1</dc:creator>
  <lastModifiedBy>GUMBYTĖ Danguolė</lastModifiedBy>
  <lastPrinted>2017-09-29T11:51:00Z</lastPrinted>
  <dcterms:modified xsi:type="dcterms:W3CDTF">2017-10-19T12:23:00Z</dcterms:modified>
  <revision>3</revision>
  <dc:title>LIETUVOS RESPUBLIKA</dc:title>
</coreProperties>
</file>