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tabs>
          <w:tab w:val="center" w:pos="4819"/>
          <w:tab w:val="right" w:pos="9638"/>
        </w:tabs>
        <w:rPr>
          <w:sz w:val="20"/>
          <w:lang w:eastAsia="lt-LT"/>
        </w:rPr>
      </w:pPr>
    </w:p>
    <w:p>
      <w:pPr>
        <w:widowControl w:val="0"/>
        <w:shd w:val="clear" w:color="auto" w:fill="FFFFFF"/>
        <w:jc w:val="center"/>
        <w:rPr>
          <w:b/>
          <w:bCs/>
          <w:color w:val="000000"/>
          <w:spacing w:val="-6"/>
          <w:szCs w:val="24"/>
          <w:lang w:eastAsia="lt-LT"/>
        </w:rPr>
      </w:pPr>
      <w:r>
        <w:rPr>
          <w:b/>
          <w:bCs/>
          <w:color w:val="000000"/>
          <w:spacing w:val="-6"/>
          <w:szCs w:val="24"/>
          <w:lang w:val="en-US"/>
        </w:rPr>
        <w:drawing>
          <wp:inline distT="0" distB="0" distL="0" distR="0" wp14:anchorId="4FAC789F" wp14:editId="269C4707">
            <wp:extent cx="46672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pic:spPr>
                </pic:pic>
              </a:graphicData>
            </a:graphic>
          </wp:inline>
        </w:drawing>
      </w:r>
    </w:p>
    <w:p>
      <w:pPr>
        <w:widowControl w:val="0"/>
        <w:shd w:val="clear" w:color="auto" w:fill="FFFFFF"/>
        <w:jc w:val="center"/>
        <w:rPr>
          <w:b/>
          <w:bCs/>
          <w:color w:val="000000"/>
          <w:spacing w:val="-6"/>
          <w:szCs w:val="24"/>
          <w:lang w:eastAsia="lt-LT"/>
        </w:rPr>
      </w:pPr>
      <w:r>
        <w:rPr>
          <w:b/>
          <w:bCs/>
          <w:color w:val="000000"/>
          <w:spacing w:val="-6"/>
          <w:szCs w:val="24"/>
          <w:lang w:eastAsia="lt-LT"/>
        </w:rPr>
        <w:t>LIETUVOS RESPUBLIKOS SVEIKATOS APSAUGOS MINISTRAS</w:t>
      </w:r>
    </w:p>
    <w:p>
      <w:pPr>
        <w:widowControl w:val="0"/>
        <w:shd w:val="clear" w:color="auto" w:fill="FFFFFF"/>
        <w:ind w:left="1570"/>
        <w:rPr>
          <w:b/>
          <w:szCs w:val="24"/>
          <w:lang w:eastAsia="lt-LT"/>
        </w:rPr>
      </w:pPr>
    </w:p>
    <w:p>
      <w:pPr>
        <w:widowControl w:val="0"/>
        <w:shd w:val="clear" w:color="auto" w:fill="FFFFFF"/>
        <w:jc w:val="center"/>
        <w:rPr>
          <w:b/>
          <w:bCs/>
          <w:color w:val="000000"/>
          <w:spacing w:val="-9"/>
          <w:szCs w:val="24"/>
          <w:lang w:eastAsia="lt-LT"/>
        </w:rPr>
      </w:pPr>
      <w:r>
        <w:rPr>
          <w:b/>
          <w:bCs/>
          <w:color w:val="000000"/>
          <w:spacing w:val="-9"/>
          <w:szCs w:val="24"/>
          <w:lang w:eastAsia="lt-LT"/>
        </w:rPr>
        <w:t>ĮSAKYMAS</w:t>
      </w:r>
    </w:p>
    <w:p>
      <w:pPr>
        <w:jc w:val="center"/>
        <w:rPr>
          <w:b/>
          <w:szCs w:val="24"/>
        </w:rPr>
      </w:pPr>
      <w:r>
        <w:rPr>
          <w:b/>
          <w:bCs/>
          <w:szCs w:val="24"/>
        </w:rPr>
        <w:t xml:space="preserve">DĖL </w:t>
      </w:r>
      <w:r>
        <w:rPr>
          <w:b/>
          <w:szCs w:val="24"/>
        </w:rPr>
        <w:t>LIETUVOS RESPUBLIKOS SVEIKATOS APSAUGOS MINISTRO</w:t>
      </w:r>
    </w:p>
    <w:p>
      <w:pPr>
        <w:widowControl w:val="0"/>
        <w:shd w:val="clear" w:color="auto" w:fill="FFFFFF"/>
        <w:jc w:val="center"/>
        <w:rPr>
          <w:b/>
          <w:szCs w:val="24"/>
          <w:lang w:eastAsia="lt-LT"/>
        </w:rPr>
      </w:pPr>
      <w:r>
        <w:rPr>
          <w:b/>
          <w:szCs w:val="24"/>
          <w:lang w:eastAsia="lt-LT"/>
        </w:rPr>
        <w:t>2015 M. BIRŽELIO 22 D. ĮSAKYMO NR. V-783 „DĖL 2014–2020 METŲ EUROPOS SĄJUNGOS FONDŲ INVESTICIJŲ VEIKSMŲ PROGRAMOS, PATVIRTINTOS 2014 M. RUGSĖJO 8 D. EUROPOS KOMISIJOS SPRENDIMU, 8 PRIORITETO „SOCIALINĖS ĮTRAUKTIES DIDINIMAS IR KOVA SU SKURDU“ 8.1.3 KONKRETAUS UŽDAVINIO „PAGERINTI SVEIKATOS PRIEŽIŪROS KOKYBĘ IR PRIEINAMUMĄ TIKSLINĖMS GYVENTOJŲ GRUPĖMS BEI SUMAŽINTI SVEIKATOS NETOLYGUMUS“ IR 8.4.2 KONKRETAUS UŽDAVINIO „SUMAŽINTI SVEIKATOS NETOLYGUMUS, GERINANT SVEIKATOS PRIEŽIŪROS KOKYBĘ IR PRIEINAMUMĄ TIKSLINĖMS GYVENTOJŲ GRUPĖMS, IR SKATINTI SVEIKĄ SENĖJIMĄ“ PRIEMONIŲ ĮGYVENDINIMO PLANO IR NACIONALINIŲ STEBĖSENOS RODIKLIŲ SKAIČIAVIMO APRAŠO PATVIRTINIMO“ PAKEITIMO</w:t>
      </w:r>
    </w:p>
    <w:p>
      <w:pPr>
        <w:widowControl w:val="0"/>
        <w:shd w:val="clear" w:color="auto" w:fill="FFFFFF"/>
        <w:jc w:val="center"/>
        <w:rPr>
          <w:b/>
          <w:szCs w:val="24"/>
          <w:lang w:eastAsia="lt-LT"/>
        </w:rPr>
      </w:pPr>
    </w:p>
    <w:p>
      <w:pPr>
        <w:widowControl w:val="0"/>
        <w:shd w:val="clear" w:color="auto" w:fill="FFFFFF"/>
        <w:tabs>
          <w:tab w:val="left" w:pos="1134"/>
          <w:tab w:val="left" w:pos="1276"/>
        </w:tabs>
        <w:ind w:right="57"/>
        <w:jc w:val="center"/>
        <w:rPr>
          <w:color w:val="000000"/>
          <w:spacing w:val="-9"/>
          <w:szCs w:val="24"/>
          <w:lang w:eastAsia="lt-LT"/>
        </w:rPr>
      </w:pPr>
      <w:r>
        <w:rPr>
          <w:color w:val="000000"/>
          <w:spacing w:val="-9"/>
          <w:szCs w:val="24"/>
          <w:lang w:eastAsia="lt-LT"/>
        </w:rPr>
        <w:t>2016 m. rugsėjo 21 d. Nr. V- 1098</w:t>
      </w:r>
    </w:p>
    <w:p>
      <w:pPr>
        <w:widowControl w:val="0"/>
        <w:shd w:val="clear" w:color="auto" w:fill="FFFFFF"/>
        <w:tabs>
          <w:tab w:val="left" w:pos="1134"/>
          <w:tab w:val="left" w:pos="1276"/>
        </w:tabs>
        <w:ind w:right="57"/>
        <w:jc w:val="center"/>
        <w:rPr>
          <w:color w:val="000000"/>
          <w:spacing w:val="-9"/>
          <w:szCs w:val="24"/>
          <w:lang w:eastAsia="lt-LT"/>
        </w:rPr>
      </w:pPr>
      <w:r>
        <w:rPr>
          <w:color w:val="000000"/>
          <w:spacing w:val="-9"/>
          <w:szCs w:val="24"/>
          <w:lang w:eastAsia="lt-LT"/>
        </w:rPr>
        <w:t>Vilnius</w:t>
      </w:r>
    </w:p>
    <w:p>
      <w:pPr>
        <w:widowControl w:val="0"/>
        <w:shd w:val="clear" w:color="auto" w:fill="FFFFFF"/>
        <w:ind w:left="57" w:right="57" w:firstLine="1134"/>
        <w:jc w:val="both"/>
        <w:rPr>
          <w:color w:val="000000"/>
          <w:spacing w:val="-4"/>
          <w:szCs w:val="24"/>
          <w:lang w:eastAsia="lt-LT"/>
        </w:rPr>
      </w:pPr>
    </w:p>
    <w:p>
      <w:pPr>
        <w:widowControl w:val="0"/>
        <w:shd w:val="clear" w:color="auto" w:fill="FFFFFF"/>
        <w:ind w:left="57" w:right="57" w:firstLine="1134"/>
        <w:jc w:val="both"/>
        <w:rPr>
          <w:color w:val="000000"/>
          <w:spacing w:val="-4"/>
          <w:szCs w:val="24"/>
          <w:lang w:eastAsia="lt-LT"/>
        </w:rPr>
      </w:pPr>
    </w:p>
    <w:p>
      <w:pPr>
        <w:widowControl w:val="0"/>
        <w:tabs>
          <w:tab w:val="left" w:pos="0"/>
        </w:tabs>
        <w:ind w:firstLine="851"/>
        <w:jc w:val="both"/>
        <w:rPr>
          <w:strike/>
          <w:szCs w:val="24"/>
          <w:lang w:eastAsia="lt-LT"/>
        </w:rPr>
      </w:pPr>
      <w:r>
        <w:rPr>
          <w:szCs w:val="24"/>
          <w:lang w:eastAsia="lt-LT"/>
        </w:rPr>
        <w:t xml:space="preserve">P a k e i č i u 2014–2020 metų Europos Sąjungos fondų investicijų veiksmų programos, patvirtintos 2014 m. rugsėjo 8 d. Europos Komisijos sprendimu, 8 prioriteto „Socialinės įtraukties didinimas ir kova su skurdu“ 8.1.3 konkretaus uždavinio „Pagerinti sveikatos priežiūros kokybę ir prieinamumą tikslinėms gyventojų grupėms bei sumažinti sveikatos netolygumus“ ir 8.4.2 konkretaus uždavinio „Sumažinti sveikatos netolygumus, gerinant sveikatos priežiūros kokybę ir prieinamumą tikslinėms gyventojų grupėms, ir skatinti sveiką senėjimą“ priemonių įgyvendinimo planą, patvirtintą Lietuvos Respublikos sveikatos apsaugos ministro 2015 m. birželio 22 d. įsakymu Nr. V-783 „Dėl 2014–2020 metų Europos Sąjungos fondų investicijų veiksmų programos, patvirtintos 2014 m. rugsėjo 8 d. Europos Komisijos sprendimu, 8 prioriteto „Socialinės įtraukties didinimas ir kova su skurdu“ 8.1.3 konkretaus uždavinio „Pagerinti sveikatos priežiūros kokybę ir prieinamumą tikslinėms gyventojų grupėms bei sumažinti sveikatos netolygumus“ ir 8.4.2 konkretaus uždavinio „Sumažinti sveikatos netolygumus, gerinant sveikatos priežiūros kokybę ir prieinamumą tikslinėms gyventojų grupėms, ir skatinti sveiką senėjimą“ priemonių įgyvendinimo plano ir nacionalinių stebėsenos rodiklių skaičiavimo aprašo patvirtinimo“, ir </w:t>
      </w:r>
      <w:r>
        <w:rPr>
          <w:color w:val="000000"/>
          <w:szCs w:val="24"/>
          <w:lang w:eastAsia="lt-LT"/>
        </w:rPr>
        <w:t xml:space="preserve">pripažįstu netekusiu galios </w:t>
      </w:r>
      <w:r>
        <w:rPr>
          <w:szCs w:val="24"/>
          <w:lang w:eastAsia="lt-LT"/>
        </w:rPr>
        <w:t xml:space="preserve">dvylikto skirsnio „Veiksmų programos prioriteto įgyvendinimo priemonė Nr. 08.1.3-CPVA-V-611 „Skubios pagalbos traumų ir nelaimingų atsitikimų bei išorinių priežasčių atvejais infrastruktūros tobulinimas“ </w:t>
      </w:r>
      <w:r>
        <w:rPr>
          <w:color w:val="000000"/>
          <w:szCs w:val="24"/>
          <w:lang w:eastAsia="lt-LT"/>
        </w:rPr>
        <w:t xml:space="preserve">6 punkto stebėsenos rodiklį </w:t>
      </w:r>
      <w:r>
        <w:rPr>
          <w:szCs w:val="24"/>
          <w:lang w:eastAsia="lt-LT"/>
        </w:rPr>
        <w:t>R.N. 601</w:t>
      </w:r>
      <w:r>
        <w:rPr>
          <w:color w:val="000000"/>
          <w:szCs w:val="24"/>
          <w:lang w:eastAsia="lt-LT"/>
        </w:rPr>
        <w:t xml:space="preserve"> </w:t>
      </w:r>
      <w:r>
        <w:rPr>
          <w:szCs w:val="24"/>
          <w:lang w:eastAsia="lt-LT"/>
        </w:rPr>
        <w:t>„Pacientai, kuriems pagerinta paslaugų kokybė ir prieinamumas“.</w:t>
      </w:r>
    </w:p>
    <w:p>
      <w:pPr>
        <w:tabs>
          <w:tab w:val="left" w:pos="993"/>
          <w:tab w:val="left" w:pos="1276"/>
        </w:tabs>
        <w:ind w:firstLine="851"/>
        <w:jc w:val="both"/>
        <w:rPr>
          <w:szCs w:val="24"/>
        </w:rPr>
      </w:pPr>
    </w:p>
    <w:p>
      <w:pPr>
        <w:tabs>
          <w:tab w:val="left" w:pos="993"/>
          <w:tab w:val="left" w:pos="1276"/>
        </w:tabs>
        <w:jc w:val="both"/>
        <w:rPr>
          <w:szCs w:val="24"/>
        </w:rPr>
      </w:pPr>
    </w:p>
    <w:p>
      <w:pPr>
        <w:widowControl w:val="0"/>
        <w:rPr>
          <w:szCs w:val="24"/>
          <w:lang w:eastAsia="lt-LT"/>
        </w:rPr>
      </w:pPr>
    </w:p>
    <w:p>
      <w:pPr>
        <w:widowControl w:val="0"/>
        <w:tabs>
          <w:tab w:val="left" w:pos="1134"/>
          <w:tab w:val="left" w:pos="1276"/>
        </w:tabs>
        <w:ind w:left="-142"/>
        <w:jc w:val="both"/>
        <w:rPr>
          <w:szCs w:val="24"/>
          <w:lang w:eastAsia="lt-LT"/>
        </w:rPr>
      </w:pPr>
      <w:r>
        <w:rPr>
          <w:szCs w:val="24"/>
          <w:lang w:eastAsia="lt-LT"/>
        </w:rPr>
        <w:t>Krašto apsaugos ministras, pavaduojantis</w:t>
      </w:r>
    </w:p>
    <w:p>
      <w:pPr>
        <w:widowControl w:val="0"/>
        <w:tabs>
          <w:tab w:val="left" w:pos="1134"/>
          <w:tab w:val="left" w:pos="1276"/>
        </w:tabs>
        <w:ind w:left="-142"/>
        <w:jc w:val="both"/>
        <w:rPr>
          <w:szCs w:val="24"/>
          <w:lang w:eastAsia="lt-LT"/>
        </w:rPr>
      </w:pPr>
      <w:r>
        <w:rPr>
          <w:szCs w:val="24"/>
          <w:lang w:eastAsia="lt-LT"/>
        </w:rPr>
        <w:t xml:space="preserve">sveikatos apsaugos ministrą </w:t>
        <w:tab/>
        <w:tab/>
        <w:t xml:space="preserve">                                                   Juozas Olekas</w:t>
      </w:r>
    </w:p>
    <w:p>
      <w:pPr>
        <w:widowControl w:val="0"/>
        <w:tabs>
          <w:tab w:val="left" w:pos="1134"/>
          <w:tab w:val="left" w:pos="1276"/>
        </w:tabs>
        <w:ind w:left="-142" w:firstLine="14100"/>
        <w:jc w:val="both"/>
        <w:rPr>
          <w:szCs w:val="24"/>
          <w:lang w:eastAsia="lt-LT"/>
        </w:rPr>
      </w:pPr>
    </w:p>
    <w:p>
      <w:pPr>
        <w:widowControl w:val="0"/>
        <w:tabs>
          <w:tab w:val="left" w:pos="1134"/>
          <w:tab w:val="left" w:pos="1276"/>
        </w:tabs>
        <w:ind w:left="-142"/>
        <w:jc w:val="both"/>
        <w:rPr>
          <w:szCs w:val="24"/>
          <w:lang w:eastAsia="lt-LT"/>
        </w:rPr>
      </w:pPr>
    </w:p>
    <w:sectPr>
      <w:headerReference w:type="even" r:id="rId8"/>
      <w:headerReference w:type="default" r:id="rId9"/>
      <w:footerReference w:type="even" r:id="rId10"/>
      <w:footerReference w:type="default" r:id="rId11"/>
      <w:headerReference w:type="first" r:id="rId12"/>
      <w:footerReference w:type="first" r:id="rId13"/>
      <w:pgSz w:w="11909" w:h="16834" w:code="9"/>
      <w:pgMar w:top="1134" w:right="567" w:bottom="1077" w:left="1701" w:header="567" w:footer="510" w:gutter="0"/>
      <w:cols w:space="60"/>
      <w:noEndnote/>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widowControl w:val="0"/>
        <w:rPr>
          <w:sz w:val="20"/>
          <w:lang w:eastAsia="lt-LT"/>
        </w:rPr>
      </w:pPr>
      <w:r>
        <w:rPr>
          <w:sz w:val="20"/>
          <w:lang w:eastAsia="lt-LT"/>
        </w:rPr>
        <w:separator/>
      </w:r>
    </w:p>
  </w:endnote>
  <w:endnote w:type="continuationSeparator" w:id="0">
    <w:p>
      <w:pPr>
        <w:widowControl w:val="0"/>
        <w:rPr>
          <w:sz w:val="20"/>
          <w:lang w:eastAsia="lt-LT"/>
        </w:rPr>
      </w:pPr>
      <w:r>
        <w:rPr>
          <w:sz w:val="20"/>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widowControl w:val="0"/>
      <w:tabs>
        <w:tab w:val="center" w:pos="4819"/>
        <w:tab w:val="right" w:pos="9638"/>
      </w:tabs>
      <w:rPr>
        <w:sz w:val="20"/>
        <w:lang w:eastAsia="lt-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widowControl w:val="0"/>
      <w:tabs>
        <w:tab w:val="center" w:pos="4819"/>
        <w:tab w:val="right" w:pos="9638"/>
      </w:tabs>
      <w:rPr>
        <w:sz w:val="20"/>
        <w:lang w:eastAsia="lt-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widowControl w:val="0"/>
      <w:tabs>
        <w:tab w:val="center" w:pos="4819"/>
        <w:tab w:val="right" w:pos="9638"/>
      </w:tabs>
      <w:rPr>
        <w:sz w:val="20"/>
        <w:lang w:eastAsia="lt-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widowControl w:val="0"/>
        <w:rPr>
          <w:sz w:val="20"/>
          <w:lang w:eastAsia="lt-LT"/>
        </w:rPr>
      </w:pPr>
      <w:r>
        <w:rPr>
          <w:sz w:val="20"/>
          <w:lang w:eastAsia="lt-LT"/>
        </w:rPr>
        <w:separator/>
      </w:r>
    </w:p>
  </w:footnote>
  <w:footnote w:type="continuationSeparator" w:id="0">
    <w:p>
      <w:pPr>
        <w:widowControl w:val="0"/>
        <w:rPr>
          <w:sz w:val="20"/>
          <w:lang w:eastAsia="lt-LT"/>
        </w:rPr>
      </w:pPr>
      <w:r>
        <w:rPr>
          <w:sz w:val="20"/>
          <w:lang w:eastAsia="lt-LT"/>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widowControl w:val="0"/>
      <w:tabs>
        <w:tab w:val="center" w:pos="4819"/>
        <w:tab w:val="right" w:pos="9638"/>
      </w:tabs>
      <w:rPr>
        <w:sz w:val="20"/>
        <w:lang w:eastAsia="lt-LT"/>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widowControl w:val="0"/>
      <w:tabs>
        <w:tab w:val="center" w:pos="4819"/>
        <w:tab w:val="right" w:pos="9638"/>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2</w:t>
    </w:r>
    <w:r>
      <w:rPr>
        <w:szCs w:val="24"/>
        <w:lang w:eastAsia="lt-LT"/>
      </w:rPr>
      <w:fldChar w:fldCharType="end"/>
    </w:r>
  </w:p>
  <w:p>
    <w:pPr>
      <w:widowControl w:val="0"/>
      <w:tabs>
        <w:tab w:val="center" w:pos="4819"/>
        <w:tab w:val="right" w:pos="9638"/>
      </w:tabs>
      <w:rPr>
        <w:sz w:val="20"/>
        <w:lang w:eastAsia="lt-LT"/>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widowControl w:val="0"/>
      <w:tabs>
        <w:tab w:val="center" w:pos="4819"/>
        <w:tab w:val="right" w:pos="9638"/>
      </w:tabs>
      <w:rPr>
        <w:sz w:val="20"/>
        <w:lang w:eastAsia="lt-LT"/>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1298"/>
  <w:hyphenationZone w:val="396"/>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24302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2281</Characters>
  <Application>Microsoft Office Word</Application>
  <DocSecurity>4</DocSecurity>
  <Lines>47</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Sveikatos apsaugos ministerija</Company>
  <LinksUpToDate>false</LinksUpToDate>
  <CharactersWithSpaces>2591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2016-09-27T07:53:00Z</dcterms:created>
  <dc:creator>Inga Cechanovičienė</dc:creator>
  <lastModifiedBy>CLUSadmin</lastModifiedBy>
  <lastPrinted>2015-11-18T08:00:00Z</lastPrinted>
  <dcterms:modified xsi:type="dcterms:W3CDTF">2016-09-27T07:53:00Z</dcterms:modified>
  <revision>2</revision>
</coreProperties>
</file>