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D54" w14:textId="77777777" w:rsidR="006C569F" w:rsidRDefault="00D0275B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9CF8D9B" wp14:editId="09CF8D9C">
            <wp:extent cx="580390" cy="652145"/>
            <wp:effectExtent l="0" t="0" r="0" b="0"/>
            <wp:docPr id="1" name="Paveikslėlis 1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8D55" w14:textId="77777777" w:rsidR="006C569F" w:rsidRDefault="006C569F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09CF8D56" w14:textId="77777777" w:rsidR="006C569F" w:rsidRDefault="006C569F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09CF8D57" w14:textId="77777777" w:rsidR="006C569F" w:rsidRDefault="00D0275B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</w:rPr>
        <w:t>STUDIJŲ KOKYBĖS VERTINIMO CENTRO DIREKTORIUS</w:t>
      </w:r>
    </w:p>
    <w:p w14:paraId="09CF8D58" w14:textId="77777777" w:rsidR="006C569F" w:rsidRDefault="006C569F">
      <w:pPr>
        <w:jc w:val="center"/>
        <w:rPr>
          <w:b/>
          <w:szCs w:val="24"/>
        </w:rPr>
      </w:pPr>
    </w:p>
    <w:p w14:paraId="09CF8D59" w14:textId="77777777" w:rsidR="006C569F" w:rsidRDefault="006C569F">
      <w:pPr>
        <w:rPr>
          <w:b/>
          <w:szCs w:val="24"/>
        </w:rPr>
      </w:pPr>
    </w:p>
    <w:p w14:paraId="09CF8D5A" w14:textId="77777777" w:rsidR="006C569F" w:rsidRDefault="00D0275B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9CF8D5B" w14:textId="77777777" w:rsidR="006C569F" w:rsidRDefault="00D0275B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DĖL </w:t>
      </w:r>
      <w:r>
        <w:rPr>
          <w:b/>
          <w:caps/>
          <w:szCs w:val="24"/>
        </w:rPr>
        <w:t>Kvalifikacijų vertinimo SUDĖTINGAIS atvejais komisijos</w:t>
      </w:r>
      <w:r>
        <w:rPr>
          <w:b/>
          <w:szCs w:val="24"/>
        </w:rPr>
        <w:t xml:space="preserve"> </w:t>
      </w:r>
      <w:r>
        <w:rPr>
          <w:b/>
          <w:caps/>
          <w:szCs w:val="24"/>
        </w:rPr>
        <w:t>DARBO reglamento patvirtinimo</w:t>
      </w:r>
    </w:p>
    <w:p w14:paraId="09CF8D5C" w14:textId="77777777" w:rsidR="006C569F" w:rsidRDefault="006C569F">
      <w:pPr>
        <w:jc w:val="center"/>
        <w:rPr>
          <w:szCs w:val="24"/>
        </w:rPr>
      </w:pPr>
    </w:p>
    <w:p w14:paraId="09CF8D5D" w14:textId="77777777" w:rsidR="006C569F" w:rsidRDefault="00D0275B">
      <w:pPr>
        <w:jc w:val="center"/>
        <w:rPr>
          <w:szCs w:val="24"/>
        </w:rPr>
      </w:pPr>
      <w:r>
        <w:rPr>
          <w:szCs w:val="24"/>
        </w:rPr>
        <w:t xml:space="preserve">2018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gruodžio 21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 V-101</w:t>
      </w:r>
    </w:p>
    <w:p w14:paraId="09CF8D5E" w14:textId="77777777" w:rsidR="006C569F" w:rsidRDefault="00D0275B">
      <w:pPr>
        <w:jc w:val="center"/>
        <w:rPr>
          <w:szCs w:val="24"/>
        </w:rPr>
      </w:pPr>
      <w:r>
        <w:rPr>
          <w:szCs w:val="24"/>
        </w:rPr>
        <w:t>Vilnius</w:t>
      </w:r>
    </w:p>
    <w:p w14:paraId="09CF8D5F" w14:textId="77777777" w:rsidR="006C569F" w:rsidRDefault="006C569F">
      <w:pPr>
        <w:ind w:firstLine="900"/>
        <w:jc w:val="both"/>
        <w:rPr>
          <w:szCs w:val="24"/>
        </w:rPr>
      </w:pPr>
    </w:p>
    <w:p w14:paraId="09CF8D60" w14:textId="77777777" w:rsidR="006C569F" w:rsidRDefault="00D0275B">
      <w:pPr>
        <w:ind w:firstLine="900"/>
        <w:jc w:val="both"/>
        <w:rPr>
          <w:szCs w:val="24"/>
        </w:rPr>
      </w:pPr>
      <w:r>
        <w:rPr>
          <w:szCs w:val="24"/>
        </w:rPr>
        <w:t xml:space="preserve">Vadovaudamasis Studijų kokybės vertinimo centro nuostatų, patvirtintų Lietuvos Respublikos švietimo ir mokslo ministro 2016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lapkričio 14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V-1002, 14.4 punktu bei Išsilavinimo ir kvalifikacijų, susijusių su aukštuoju mokslu ir įgytų pagal u</w:t>
      </w:r>
      <w:r>
        <w:rPr>
          <w:szCs w:val="24"/>
        </w:rPr>
        <w:t xml:space="preserve">žsienio valstybių ir tarptautinių organizacijų švietimo programas, pripažinimo tvarkos aprašo, patvirtinto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 xml:space="preserve">2012 </w:t>
        </w:r>
        <w:proofErr w:type="spellStart"/>
        <w:r>
          <w:rPr>
            <w:szCs w:val="24"/>
          </w:rPr>
          <w:t>m</w:t>
        </w:r>
      </w:smartTag>
      <w:proofErr w:type="spellEnd"/>
      <w:r>
        <w:rPr>
          <w:szCs w:val="24"/>
        </w:rPr>
        <w:t xml:space="preserve">. vasario 29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nutarimu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212, 13 punktu:</w:t>
      </w:r>
    </w:p>
    <w:p w14:paraId="09CF8D61" w14:textId="77777777" w:rsidR="006C569F" w:rsidRDefault="00D0275B">
      <w:pPr>
        <w:ind w:firstLine="900"/>
        <w:jc w:val="both"/>
        <w:rPr>
          <w:szCs w:val="24"/>
        </w:rPr>
      </w:pPr>
      <w:r>
        <w:rPr>
          <w:spacing w:val="20"/>
          <w:szCs w:val="24"/>
        </w:rPr>
        <w:t>1</w:t>
      </w:r>
      <w:r>
        <w:rPr>
          <w:spacing w:val="20"/>
          <w:szCs w:val="24"/>
        </w:rPr>
        <w:t xml:space="preserve">. tvirtinu </w:t>
      </w:r>
      <w:r>
        <w:rPr>
          <w:szCs w:val="24"/>
        </w:rPr>
        <w:t>Kvalifikacijų vertinimo sudėtingais atvejais komi</w:t>
      </w:r>
      <w:r>
        <w:rPr>
          <w:szCs w:val="24"/>
        </w:rPr>
        <w:t>sijos darbo reglamentą (pridedama);</w:t>
      </w:r>
    </w:p>
    <w:p w14:paraId="09CF8D64" w14:textId="0BFFEA33" w:rsidR="006C569F" w:rsidRDefault="00D0275B" w:rsidP="00D0275B">
      <w:pPr>
        <w:tabs>
          <w:tab w:val="left" w:pos="7560"/>
        </w:tabs>
        <w:ind w:firstLine="90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pacing w:val="20"/>
          <w:szCs w:val="24"/>
        </w:rPr>
        <w:t>pripažįstu netekusiu galios</w:t>
      </w:r>
      <w:r>
        <w:rPr>
          <w:szCs w:val="24"/>
        </w:rPr>
        <w:t xml:space="preserve"> 2014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gegužės 29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įsakymą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V-39 „Dėl kvalifikacijų vertinimo ypatingais atvejais komisijos sudarymo ir jos darbo reglamento patvirtinimo“.</w:t>
      </w:r>
    </w:p>
    <w:p w14:paraId="0E2999EE" w14:textId="77777777" w:rsidR="00D0275B" w:rsidRDefault="00D0275B">
      <w:pPr>
        <w:tabs>
          <w:tab w:val="left" w:pos="7560"/>
          <w:tab w:val="right" w:pos="9639"/>
        </w:tabs>
        <w:jc w:val="both"/>
      </w:pPr>
    </w:p>
    <w:p w14:paraId="26316739" w14:textId="77777777" w:rsidR="00D0275B" w:rsidRDefault="00D0275B">
      <w:pPr>
        <w:tabs>
          <w:tab w:val="left" w:pos="7560"/>
          <w:tab w:val="right" w:pos="9639"/>
        </w:tabs>
        <w:jc w:val="both"/>
      </w:pPr>
    </w:p>
    <w:p w14:paraId="5051B578" w14:textId="77777777" w:rsidR="00D0275B" w:rsidRDefault="00D0275B">
      <w:pPr>
        <w:tabs>
          <w:tab w:val="left" w:pos="7560"/>
          <w:tab w:val="right" w:pos="9639"/>
        </w:tabs>
        <w:jc w:val="both"/>
      </w:pPr>
    </w:p>
    <w:p w14:paraId="09CF8D65" w14:textId="6D02F9AE" w:rsidR="006C569F" w:rsidRDefault="00D0275B">
      <w:pPr>
        <w:tabs>
          <w:tab w:val="left" w:pos="7560"/>
          <w:tab w:val="right" w:pos="9639"/>
        </w:tabs>
        <w:jc w:val="both"/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  <w:t xml:space="preserve">  Almantas </w:t>
      </w:r>
      <w:proofErr w:type="spellStart"/>
      <w:r>
        <w:rPr>
          <w:szCs w:val="24"/>
        </w:rPr>
        <w:t>Šerpatauskas</w:t>
      </w:r>
      <w:proofErr w:type="spellEnd"/>
    </w:p>
    <w:p w14:paraId="7692A2C5" w14:textId="77777777" w:rsidR="00D0275B" w:rsidRDefault="00D0275B">
      <w:pPr>
        <w:tabs>
          <w:tab w:val="left" w:pos="7560"/>
          <w:tab w:val="right" w:pos="9639"/>
        </w:tabs>
        <w:ind w:left="5760"/>
        <w:jc w:val="both"/>
        <w:sectPr w:rsidR="00D027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851" w:left="1418" w:header="709" w:footer="709" w:gutter="0"/>
          <w:cols w:space="708"/>
          <w:docGrid w:linePitch="360"/>
        </w:sectPr>
      </w:pPr>
    </w:p>
    <w:p w14:paraId="09CF8D66" w14:textId="41EE6AE0" w:rsidR="006C569F" w:rsidRDefault="00D0275B">
      <w:pPr>
        <w:tabs>
          <w:tab w:val="left" w:pos="7560"/>
          <w:tab w:val="right" w:pos="9639"/>
        </w:tabs>
        <w:ind w:left="576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PATVIRTINTA</w:t>
      </w:r>
    </w:p>
    <w:p w14:paraId="09CF8D67" w14:textId="77777777" w:rsidR="006C569F" w:rsidRDefault="00D0275B">
      <w:pPr>
        <w:tabs>
          <w:tab w:val="left" w:pos="7560"/>
          <w:tab w:val="right" w:pos="9639"/>
        </w:tabs>
        <w:ind w:left="5760"/>
        <w:rPr>
          <w:szCs w:val="24"/>
        </w:rPr>
      </w:pPr>
      <w:r>
        <w:rPr>
          <w:szCs w:val="24"/>
        </w:rPr>
        <w:t>Studijų kokybės vertinimo centro direktoriaus 2018 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gruodžio 21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V-101</w:t>
      </w:r>
    </w:p>
    <w:p w14:paraId="09CF8D68" w14:textId="77777777" w:rsidR="006C569F" w:rsidRDefault="006C569F">
      <w:pPr>
        <w:tabs>
          <w:tab w:val="left" w:pos="7560"/>
          <w:tab w:val="right" w:pos="9639"/>
        </w:tabs>
        <w:ind w:left="5760"/>
        <w:jc w:val="both"/>
        <w:rPr>
          <w:szCs w:val="24"/>
        </w:rPr>
      </w:pPr>
    </w:p>
    <w:p w14:paraId="09CF8D69" w14:textId="77777777" w:rsidR="006C569F" w:rsidRDefault="006C569F">
      <w:pPr>
        <w:tabs>
          <w:tab w:val="left" w:pos="7560"/>
          <w:tab w:val="right" w:pos="9639"/>
        </w:tabs>
        <w:ind w:left="5760"/>
        <w:jc w:val="both"/>
        <w:rPr>
          <w:szCs w:val="24"/>
        </w:rPr>
      </w:pPr>
    </w:p>
    <w:p w14:paraId="09CF8D6A" w14:textId="77777777" w:rsidR="006C569F" w:rsidRDefault="00D0275B">
      <w:pPr>
        <w:tabs>
          <w:tab w:val="left" w:pos="7560"/>
          <w:tab w:val="right" w:pos="9639"/>
        </w:tabs>
        <w:jc w:val="center"/>
        <w:rPr>
          <w:b/>
          <w:szCs w:val="24"/>
        </w:rPr>
      </w:pPr>
      <w:r>
        <w:rPr>
          <w:b/>
          <w:caps/>
          <w:szCs w:val="24"/>
        </w:rPr>
        <w:t xml:space="preserve">Kvalifikacijų vertinimo SUDĖTINGAIS atvejais </w:t>
      </w:r>
      <w:r>
        <w:rPr>
          <w:b/>
          <w:szCs w:val="24"/>
        </w:rPr>
        <w:t>KOMISIJOS DARBO REGLAMENTAS</w:t>
      </w:r>
    </w:p>
    <w:p w14:paraId="09CF8D6B" w14:textId="77777777" w:rsidR="006C569F" w:rsidRDefault="006C569F">
      <w:pPr>
        <w:tabs>
          <w:tab w:val="left" w:pos="7560"/>
          <w:tab w:val="right" w:pos="9639"/>
        </w:tabs>
        <w:jc w:val="center"/>
        <w:rPr>
          <w:b/>
          <w:szCs w:val="24"/>
        </w:rPr>
      </w:pPr>
    </w:p>
    <w:p w14:paraId="09CF8D6C" w14:textId="77777777" w:rsidR="006C569F" w:rsidRDefault="00D027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BENDROSIOS NUOSTATOS</w:t>
      </w:r>
    </w:p>
    <w:p w14:paraId="09CF8D6D" w14:textId="77777777" w:rsidR="006C569F" w:rsidRDefault="006C569F">
      <w:pPr>
        <w:jc w:val="both"/>
        <w:rPr>
          <w:szCs w:val="24"/>
        </w:rPr>
      </w:pPr>
    </w:p>
    <w:p w14:paraId="09CF8D6E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Kvalifikacijų vertinimo sudėtingais </w:t>
      </w:r>
      <w:r>
        <w:rPr>
          <w:szCs w:val="24"/>
        </w:rPr>
        <w:t>atvejais komisijos darbo reglamentas (toliau – Reglamentas) nustato Kvalifikacijų vertinimo sudėtingais atvejais komisijos (toliau – Komisija) sudarymo, darbo organizavimo tvarką, jos funkcijas, teises ir pareigas bei atsakomybę.</w:t>
      </w:r>
    </w:p>
    <w:p w14:paraId="09CF8D6F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Komisija sudaryta t</w:t>
      </w:r>
      <w:r>
        <w:rPr>
          <w:szCs w:val="24"/>
        </w:rPr>
        <w:t>eikti rekomendacijas dėl išsilavinimo ir kvalifikacijų, susijusių su aukštuoju mokslu ir įgytų pagal užsienio valstybių ir tarptautinių organizacijų švietimo programas (toliau – kvalifikacijos) vertinimo taip pat dalykų atitikmenų nustatymo ir pažymių perv</w:t>
      </w:r>
      <w:r>
        <w:rPr>
          <w:szCs w:val="24"/>
        </w:rPr>
        <w:t>edimo sudėtingais atvejais.</w:t>
      </w:r>
    </w:p>
    <w:p w14:paraId="09CF8D70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Komisija savo veikloje vadovaujasi Lietuvos Respublikos Konstitucija, Europos Tarybos ir UNESCO kvalifikacijų, susijusių su aukštuoju mokslu, pripažinimo Europos regiono valstybėse konvencija ir jos lydinčiaisiais dokumen</w:t>
      </w:r>
      <w:r>
        <w:rPr>
          <w:szCs w:val="24"/>
        </w:rPr>
        <w:t>tais, Lietuvos Respublikos mokslo ir studijų įstatymu, Išsilavinimo ir kvalifikacijų, susijusių su aukštuoju mokslu ir įgytų pagal užsienio valstybių ir tarptautinių organizacijų švietimo programas, pripažinimo tvarkos aprašu, patvirtintu Lietuvos Respubli</w:t>
      </w:r>
      <w:r>
        <w:rPr>
          <w:szCs w:val="24"/>
        </w:rPr>
        <w:t xml:space="preserve">kos Vyriausybės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 xml:space="preserve">2012 </w:t>
        </w:r>
        <w:proofErr w:type="spellStart"/>
        <w:r>
          <w:rPr>
            <w:szCs w:val="24"/>
          </w:rPr>
          <w:t>m</w:t>
        </w:r>
      </w:smartTag>
      <w:proofErr w:type="spellEnd"/>
      <w:r>
        <w:rPr>
          <w:szCs w:val="24"/>
        </w:rPr>
        <w:t xml:space="preserve">. vasario 29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nutarimu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212, Išsilavinimo ir kvalifikacijų, susijusių su aukštuoju mokslu ir įgytų pagal užsienio valstybių ir tarptautinių organizacijų švietimo programas, vertinimo metodika, patvirtinta Studijų kokybės vertinim</w:t>
      </w:r>
      <w:r>
        <w:rPr>
          <w:szCs w:val="24"/>
        </w:rPr>
        <w:t xml:space="preserve">o centro direktoriaus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 xml:space="preserve">2012 </w:t>
        </w:r>
        <w:proofErr w:type="spellStart"/>
        <w:r>
          <w:rPr>
            <w:szCs w:val="24"/>
          </w:rPr>
          <w:t>m</w:t>
        </w:r>
      </w:smartTag>
      <w:proofErr w:type="spellEnd"/>
      <w:r>
        <w:rPr>
          <w:szCs w:val="24"/>
        </w:rPr>
        <w:t xml:space="preserve">. gegužės 28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V-48, kitais Lietuvos Respublikos teisės aktais, reglamentuojančiais išsilavinimo ir kvalifikacijų, susijusių su aukštuoju mokslu ir įgytų pagal užsienio valstybių ir tarptautinių organizacijų švietim</w:t>
      </w:r>
      <w:r>
        <w:rPr>
          <w:szCs w:val="24"/>
        </w:rPr>
        <w:t xml:space="preserve">o programas, vertinimą ir pripažinimą, taip pat šiuo Reglamentu. </w:t>
      </w:r>
    </w:p>
    <w:p w14:paraId="09CF8D71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Komisija yra </w:t>
      </w:r>
      <w:proofErr w:type="spellStart"/>
      <w:r>
        <w:rPr>
          <w:szCs w:val="24"/>
        </w:rPr>
        <w:t>atskaitinga</w:t>
      </w:r>
      <w:proofErr w:type="spellEnd"/>
      <w:r>
        <w:rPr>
          <w:szCs w:val="24"/>
        </w:rPr>
        <w:t xml:space="preserve"> Studijų kokybės vertinimo centro (toliau – Centras) direktoriui.</w:t>
      </w:r>
    </w:p>
    <w:p w14:paraId="09CF8D72" w14:textId="77777777" w:rsidR="006C569F" w:rsidRDefault="00D0275B">
      <w:pPr>
        <w:jc w:val="both"/>
        <w:rPr>
          <w:szCs w:val="24"/>
        </w:rPr>
      </w:pPr>
    </w:p>
    <w:p w14:paraId="09CF8D73" w14:textId="77777777" w:rsidR="006C569F" w:rsidRDefault="00D0275B">
      <w:pPr>
        <w:ind w:left="283"/>
        <w:jc w:val="center"/>
        <w:rPr>
          <w:b/>
          <w:caps/>
          <w:spacing w:val="-2"/>
          <w:szCs w:val="24"/>
        </w:rPr>
      </w:pPr>
      <w:r>
        <w:rPr>
          <w:b/>
          <w:caps/>
          <w:spacing w:val="-2"/>
          <w:szCs w:val="24"/>
        </w:rPr>
        <w:t>II</w:t>
      </w:r>
      <w:r>
        <w:rPr>
          <w:b/>
          <w:caps/>
          <w:spacing w:val="-2"/>
          <w:szCs w:val="24"/>
        </w:rPr>
        <w:t xml:space="preserve">. </w:t>
      </w:r>
      <w:r>
        <w:rPr>
          <w:b/>
          <w:caps/>
          <w:spacing w:val="-2"/>
          <w:szCs w:val="24"/>
        </w:rPr>
        <w:t>komisijos sudėtis</w:t>
      </w:r>
    </w:p>
    <w:p w14:paraId="09CF8D74" w14:textId="77777777" w:rsidR="006C569F" w:rsidRDefault="006C569F">
      <w:pPr>
        <w:ind w:left="283"/>
        <w:jc w:val="center"/>
        <w:rPr>
          <w:b/>
          <w:caps/>
          <w:spacing w:val="-2"/>
          <w:szCs w:val="24"/>
        </w:rPr>
      </w:pPr>
    </w:p>
    <w:p w14:paraId="09CF8D75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 xml:space="preserve">Komisija sudaroma ir jos sudėtis keičiama Centro </w:t>
      </w:r>
      <w:r>
        <w:rPr>
          <w:szCs w:val="24"/>
        </w:rPr>
        <w:t>direktoriaus įsakymu. Komisijos pirmininką ir sekretorių paskiria Centro direktorius. Centro direktorius negali būti šios Komisijos nariu.</w:t>
      </w:r>
    </w:p>
    <w:p w14:paraId="09CF8D76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Komisija sudaroma iš ne mažiau nei 6 narių.</w:t>
      </w:r>
    </w:p>
    <w:p w14:paraId="09CF8D77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Į Komisijos sudėtį įtraukiami Centro direktoriaus pavaduoto</w:t>
      </w:r>
      <w:r>
        <w:rPr>
          <w:szCs w:val="24"/>
        </w:rPr>
        <w:t>jas, kuris eina ir Lietuvos ENIC / NARIC vadovo pareigas, Centro Teisės ir bendrųjų reikalų skyriaus vedėjas ar šio skyriaus vyriausiasis specialistas (teisininkas), Kvalifikacijų vertinimo skyriaus vedėjas, ne mažiau kaip 2 Kvalifikacijų vertinimo skyriau</w:t>
      </w:r>
      <w:r>
        <w:rPr>
          <w:szCs w:val="24"/>
        </w:rPr>
        <w:t xml:space="preserve">s darbuotojai, 1 Institucinio vertinimo skyriaus ar Studijų vertinimo skyriaus darbuotojas. </w:t>
      </w:r>
    </w:p>
    <w:p w14:paraId="09CF8D78" w14:textId="77777777" w:rsidR="006C569F" w:rsidRDefault="00D0275B">
      <w:pPr>
        <w:rPr>
          <w:spacing w:val="-2"/>
          <w:szCs w:val="24"/>
        </w:rPr>
      </w:pPr>
    </w:p>
    <w:p w14:paraId="09CF8D79" w14:textId="77777777" w:rsidR="006C569F" w:rsidRDefault="00D0275B">
      <w:pPr>
        <w:ind w:left="283"/>
        <w:jc w:val="center"/>
        <w:rPr>
          <w:b/>
          <w:caps/>
          <w:spacing w:val="-2"/>
          <w:szCs w:val="24"/>
        </w:rPr>
      </w:pPr>
      <w:r>
        <w:rPr>
          <w:b/>
          <w:caps/>
          <w:spacing w:val="-2"/>
          <w:szCs w:val="24"/>
        </w:rPr>
        <w:t>III</w:t>
      </w:r>
      <w:r>
        <w:rPr>
          <w:b/>
          <w:caps/>
          <w:spacing w:val="-2"/>
          <w:szCs w:val="24"/>
        </w:rPr>
        <w:t xml:space="preserve">. </w:t>
      </w:r>
      <w:r>
        <w:rPr>
          <w:b/>
          <w:caps/>
          <w:spacing w:val="-2"/>
          <w:szCs w:val="24"/>
        </w:rPr>
        <w:t>KOMISIJOS FUNKCIJOS IR DARBO ORGANIZAVIMO TVARKA</w:t>
      </w:r>
    </w:p>
    <w:p w14:paraId="09CF8D7A" w14:textId="77777777" w:rsidR="006C569F" w:rsidRDefault="006C569F">
      <w:pPr>
        <w:ind w:left="283"/>
        <w:rPr>
          <w:b/>
          <w:caps/>
          <w:spacing w:val="-2"/>
          <w:szCs w:val="24"/>
        </w:rPr>
      </w:pPr>
    </w:p>
    <w:p w14:paraId="09CF8D7B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8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pacing w:val="-2"/>
          <w:szCs w:val="24"/>
        </w:rPr>
        <w:t>Komisija veikia Centro vardu pagal Komisijai suteiktus įgaliojimus.</w:t>
      </w:r>
    </w:p>
    <w:p w14:paraId="09CF8D7C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9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pacing w:val="-2"/>
          <w:szCs w:val="24"/>
        </w:rPr>
        <w:t>Komisija veikia nuo</w:t>
      </w:r>
      <w:r>
        <w:rPr>
          <w:spacing w:val="-2"/>
          <w:szCs w:val="24"/>
        </w:rPr>
        <w:t xml:space="preserve"> sprendimo ją sudaryti priėmimo. </w:t>
      </w:r>
    </w:p>
    <w:p w14:paraId="09CF8D7D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10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pacing w:val="-2"/>
          <w:szCs w:val="24"/>
        </w:rPr>
        <w:t>Komisijos posėdis šaukiamas Kvalifikacijų vertinimo skyriaus iniciatyva sudėtingais kvalifikacijų vertinimo ar dalykų atitikmenų nustatymo ir pažymių pervedimo atvejais, kai nėra suformuota atitinkama praktika Cent</w:t>
      </w:r>
      <w:r>
        <w:rPr>
          <w:spacing w:val="-2"/>
          <w:szCs w:val="24"/>
        </w:rPr>
        <w:t>re ar gauta informacija apie kvalifikaciją sudaro prielaidas peržiūrėti Centro suformuotą praktiką.</w:t>
      </w:r>
    </w:p>
    <w:p w14:paraId="09CF8D7E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11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 Komisijos posėdžio darbotvarkę Komisijos pirmininkui siūlo Komisijos sekretorius. Komisijos darbotvarkę tvirtina Komisijos pirmininkas.</w:t>
      </w:r>
      <w:r>
        <w:rPr>
          <w:caps/>
          <w:spacing w:val="-2"/>
          <w:szCs w:val="24"/>
        </w:rPr>
        <w:t xml:space="preserve"> </w:t>
      </w:r>
    </w:p>
    <w:p w14:paraId="09CF8D7F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12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Komisijos veiklai vadovauja pirmininkas arba jį posėdyje pavaduojantis Komisijos narys. </w:t>
      </w:r>
    </w:p>
    <w:p w14:paraId="09CF8D80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13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Komisijos posėdžiai yra teisėti, kai posėdyje dalyvauja bent pusė visų Komisijos narių. </w:t>
      </w:r>
    </w:p>
    <w:p w14:paraId="09CF8D81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14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 </w:t>
      </w:r>
      <w:r>
        <w:rPr>
          <w:spacing w:val="-2"/>
          <w:szCs w:val="24"/>
        </w:rPr>
        <w:t>Komisija priima sprendimus posėdyje paprasta balsų dauguma, a</w:t>
      </w:r>
      <w:r>
        <w:rPr>
          <w:spacing w:val="-2"/>
          <w:szCs w:val="24"/>
        </w:rPr>
        <w:t>rba atviru vardiniu balsavimu. Jeigu balsai pasiskirsto po lygiai, lemia Komisijos pirmininko balsas.</w:t>
      </w:r>
    </w:p>
    <w:p w14:paraId="09CF8D82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15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Komisijos sprendimai įforminami protokolu, kurį pasirašo Komisijos pirmininkas ir Komisijos sekretorius. Protokolą rašo Komisijos sekretorius, ar,</w:t>
      </w:r>
      <w:r>
        <w:rPr>
          <w:szCs w:val="24"/>
        </w:rPr>
        <w:t xml:space="preserve"> sekretoriui nedalyvaujant, kitas pirmininko paskirtas Komisijos narys. </w:t>
      </w:r>
      <w:r>
        <w:rPr>
          <w:spacing w:val="-2"/>
          <w:szCs w:val="24"/>
        </w:rPr>
        <w:t>Komisija posėdžio metu turi teisę priimti sprendimą dėl papildomų klausimų įtraukimo į posėdžio darbotvarkę.</w:t>
      </w:r>
    </w:p>
    <w:p w14:paraId="09CF8D83" w14:textId="77777777" w:rsidR="006C569F" w:rsidRDefault="00D0275B">
      <w:pPr>
        <w:tabs>
          <w:tab w:val="left" w:pos="1191"/>
        </w:tabs>
        <w:ind w:firstLine="851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 xml:space="preserve"> Komisija ar jos pirmininkas turi teisę į Komisijos posėdžius kviestis Centro darbuotojus, Centro valstybės tarnautojus, ekspertus. Centro į posėdį pakviesti asmenys negali teikti jokios informacijos tretiesiems asmenims apie posėdžio metu nagrinėjamus kla</w:t>
      </w:r>
      <w:r>
        <w:rPr>
          <w:szCs w:val="24"/>
        </w:rPr>
        <w:t xml:space="preserve">usimus, išskyrus Lietuvos Respublikos teisės aktų nustatytus atvejus. </w:t>
      </w:r>
    </w:p>
    <w:p w14:paraId="09CF8D84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17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Komisijos posėdžio protokolai ir jų priedai, susiję su sprendimų priėmimu (nutarimai, priimti kaip atskiri dokumentai, ir kiti dokumentai), registruojami ir saugomi Centro dokum</w:t>
      </w:r>
      <w:r>
        <w:rPr>
          <w:szCs w:val="24"/>
        </w:rPr>
        <w:t xml:space="preserve">entų valdymo sistemoje Lietuvos Respublikos teisės aktų nustatyta tvarka. </w:t>
      </w:r>
    </w:p>
    <w:p w14:paraId="09CF8D85" w14:textId="77777777" w:rsidR="006C569F" w:rsidRDefault="00D0275B">
      <w:pPr>
        <w:rPr>
          <w:spacing w:val="-2"/>
          <w:szCs w:val="24"/>
        </w:rPr>
      </w:pPr>
    </w:p>
    <w:p w14:paraId="09CF8D86" w14:textId="77777777" w:rsidR="006C569F" w:rsidRDefault="00D0275B">
      <w:pPr>
        <w:ind w:left="283"/>
        <w:jc w:val="center"/>
        <w:rPr>
          <w:b/>
          <w:caps/>
          <w:spacing w:val="-2"/>
          <w:szCs w:val="24"/>
        </w:rPr>
      </w:pPr>
      <w:r>
        <w:rPr>
          <w:b/>
          <w:caps/>
          <w:spacing w:val="-2"/>
          <w:szCs w:val="24"/>
        </w:rPr>
        <w:t>iV</w:t>
      </w:r>
      <w:r>
        <w:rPr>
          <w:b/>
          <w:caps/>
          <w:spacing w:val="-2"/>
          <w:szCs w:val="24"/>
        </w:rPr>
        <w:t xml:space="preserve">. </w:t>
      </w:r>
      <w:r>
        <w:rPr>
          <w:b/>
          <w:caps/>
          <w:spacing w:val="-2"/>
          <w:szCs w:val="24"/>
        </w:rPr>
        <w:t>KOMISIJOS teisės IR PAREIGOS</w:t>
      </w:r>
    </w:p>
    <w:p w14:paraId="09CF8D87" w14:textId="77777777" w:rsidR="006C569F" w:rsidRDefault="006C569F">
      <w:pPr>
        <w:ind w:left="283"/>
        <w:rPr>
          <w:spacing w:val="-2"/>
          <w:szCs w:val="24"/>
        </w:rPr>
      </w:pPr>
    </w:p>
    <w:p w14:paraId="09CF8D88" w14:textId="77777777" w:rsidR="006C569F" w:rsidRDefault="00D0275B">
      <w:pPr>
        <w:tabs>
          <w:tab w:val="left" w:pos="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18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Komisija, vykdydama jai pavestas funkcijas, turi teisę: </w:t>
      </w:r>
    </w:p>
    <w:p w14:paraId="09CF8D89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18.1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prašyti Centro darbuotojų ir (ar) valstybės tarnautojų surinkti pap</w:t>
      </w:r>
      <w:r>
        <w:rPr>
          <w:szCs w:val="24"/>
        </w:rPr>
        <w:t xml:space="preserve">ildomą informaciją, bei dokumentus, susijusius su Komisijos posėdžiuose nagrinėjamais ir (ar) ketinamais nagrinėti klausimais; </w:t>
      </w:r>
    </w:p>
    <w:p w14:paraId="09CF8D8A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18.2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kviesti ekspertus nuomonei apie Komisijos posėdžiuose nagrinėjamus klausimus pareikšti; </w:t>
      </w:r>
    </w:p>
    <w:p w14:paraId="09CF8D8B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18.3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susipažinti su visa</w:t>
      </w:r>
      <w:r>
        <w:rPr>
          <w:szCs w:val="24"/>
        </w:rPr>
        <w:t xml:space="preserve"> informacija, susijusia su Komisijos posėdžiuose nagrinėjamais ir (ar) ketinamais nagrinėti klausimais.</w:t>
      </w:r>
    </w:p>
    <w:p w14:paraId="09CF8D8C" w14:textId="77777777" w:rsidR="006C569F" w:rsidRDefault="00D0275B">
      <w:pPr>
        <w:tabs>
          <w:tab w:val="left" w:pos="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19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Komisija privalo: </w:t>
      </w:r>
    </w:p>
    <w:p w14:paraId="09CF8D8D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19.1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vykdyti šiame Reglamente nurodytas funkcijas;</w:t>
      </w:r>
    </w:p>
    <w:p w14:paraId="09CF8D8E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19.2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vykdydama funkcijas, laikytis Lietuvos Respublikos teisės a</w:t>
      </w:r>
      <w:r>
        <w:rPr>
          <w:szCs w:val="24"/>
        </w:rPr>
        <w:t>ktų reikalavimų, elgtis sąžiningai bei nešališkai;</w:t>
      </w:r>
    </w:p>
    <w:p w14:paraId="09CF8D8F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19.3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 xml:space="preserve">Centrui pareikalavus, teikti savo veiksmų, susijusių su Komisijos posėdžiuose nagrinėjamais klausimais, paaiškinimus; </w:t>
      </w:r>
    </w:p>
    <w:p w14:paraId="09CF8D90" w14:textId="77777777" w:rsidR="006C569F" w:rsidRDefault="00D0275B">
      <w:pPr>
        <w:tabs>
          <w:tab w:val="left" w:pos="0"/>
          <w:tab w:val="left" w:pos="720"/>
          <w:tab w:val="left" w:pos="1440"/>
        </w:tabs>
        <w:ind w:firstLine="900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19.4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tretiesiems asmenims neatskleisti informacijos, susijusios su vykd</w:t>
      </w:r>
      <w:r>
        <w:rPr>
          <w:szCs w:val="24"/>
        </w:rPr>
        <w:t>omomis funkcijomis.</w:t>
      </w:r>
    </w:p>
    <w:p w14:paraId="09CF8D91" w14:textId="77777777" w:rsidR="006C569F" w:rsidRDefault="00D0275B">
      <w:pPr>
        <w:tabs>
          <w:tab w:val="left" w:pos="0"/>
          <w:tab w:val="left" w:pos="1620"/>
        </w:tabs>
        <w:ind w:left="283"/>
        <w:rPr>
          <w:caps/>
          <w:spacing w:val="-2"/>
          <w:szCs w:val="24"/>
        </w:rPr>
      </w:pPr>
    </w:p>
    <w:p w14:paraId="09CF8D92" w14:textId="77777777" w:rsidR="006C569F" w:rsidRDefault="00D027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ATSAKOMYBĖ</w:t>
      </w:r>
    </w:p>
    <w:p w14:paraId="09CF8D93" w14:textId="77777777" w:rsidR="006C569F" w:rsidRDefault="006C569F">
      <w:pPr>
        <w:ind w:firstLine="720"/>
        <w:jc w:val="center"/>
        <w:rPr>
          <w:b/>
          <w:bCs/>
          <w:szCs w:val="24"/>
        </w:rPr>
      </w:pPr>
    </w:p>
    <w:p w14:paraId="09CF8D94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20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Kiekvienas Komisijos narys už savo veiką atsako Lietuvos Respublikos įstatymų nustatyta tvarka.</w:t>
      </w:r>
      <w:r>
        <w:rPr>
          <w:caps/>
          <w:spacing w:val="-2"/>
          <w:szCs w:val="24"/>
        </w:rPr>
        <w:t xml:space="preserve"> </w:t>
      </w:r>
    </w:p>
    <w:p w14:paraId="09CF8D95" w14:textId="77777777" w:rsidR="006C569F" w:rsidRDefault="00D0275B">
      <w:pPr>
        <w:rPr>
          <w:b/>
          <w:szCs w:val="24"/>
        </w:rPr>
      </w:pPr>
    </w:p>
    <w:p w14:paraId="09CF8D96" w14:textId="77777777" w:rsidR="006C569F" w:rsidRDefault="00D0275B">
      <w:pPr>
        <w:jc w:val="center"/>
        <w:rPr>
          <w:b/>
          <w:szCs w:val="24"/>
        </w:rPr>
      </w:pPr>
      <w:r>
        <w:rPr>
          <w:b/>
          <w:szCs w:val="24"/>
        </w:rPr>
        <w:t>VII</w:t>
      </w:r>
      <w:r>
        <w:rPr>
          <w:b/>
          <w:szCs w:val="24"/>
        </w:rPr>
        <w:t xml:space="preserve">. </w:t>
      </w:r>
      <w:r>
        <w:rPr>
          <w:b/>
          <w:szCs w:val="24"/>
        </w:rPr>
        <w:t>BAIGIAMOSIOS NUOSTATOS</w:t>
      </w:r>
    </w:p>
    <w:p w14:paraId="09CF8D97" w14:textId="77777777" w:rsidR="006C569F" w:rsidRDefault="006C569F">
      <w:pPr>
        <w:jc w:val="center"/>
        <w:rPr>
          <w:b/>
          <w:szCs w:val="24"/>
        </w:rPr>
      </w:pPr>
    </w:p>
    <w:p w14:paraId="09CF8D98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21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Komisija gali būti panaikinta Centro direktoriaus įsakymu.</w:t>
      </w:r>
    </w:p>
    <w:p w14:paraId="09CF8D99" w14:textId="77777777" w:rsidR="006C569F" w:rsidRDefault="00D0275B">
      <w:pPr>
        <w:tabs>
          <w:tab w:val="left" w:pos="1191"/>
        </w:tabs>
        <w:ind w:firstLine="851"/>
        <w:jc w:val="both"/>
        <w:rPr>
          <w:caps/>
          <w:spacing w:val="-2"/>
          <w:szCs w:val="24"/>
        </w:rPr>
      </w:pPr>
      <w:r>
        <w:rPr>
          <w:caps/>
          <w:spacing w:val="-2"/>
          <w:szCs w:val="24"/>
        </w:rPr>
        <w:t>22</w:t>
      </w:r>
      <w:r>
        <w:rPr>
          <w:caps/>
          <w:spacing w:val="-2"/>
          <w:szCs w:val="24"/>
        </w:rPr>
        <w:t>.</w:t>
      </w:r>
      <w:r>
        <w:rPr>
          <w:caps/>
          <w:spacing w:val="-2"/>
          <w:szCs w:val="24"/>
        </w:rPr>
        <w:tab/>
      </w:r>
      <w:r>
        <w:rPr>
          <w:szCs w:val="24"/>
        </w:rPr>
        <w:t>Komisija veikia neterminuotai.</w:t>
      </w:r>
    </w:p>
    <w:p w14:paraId="09CF8D9A" w14:textId="77777777" w:rsidR="006C569F" w:rsidRDefault="00D0275B">
      <w:pPr>
        <w:ind w:left="283"/>
        <w:rPr>
          <w:caps/>
          <w:spacing w:val="-2"/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F8D9D" wp14:editId="09CF8D9E">
                <wp:simplePos x="0" y="0"/>
                <wp:positionH relativeFrom="column">
                  <wp:align>center</wp:align>
                </wp:positionH>
                <wp:positionV relativeFrom="paragraph">
                  <wp:posOffset>243840</wp:posOffset>
                </wp:positionV>
                <wp:extent cx="1494155" cy="0"/>
                <wp:effectExtent l="9525" t="5715" r="1079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2pt" to="117.65pt,1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6nXdEgIAACgEAAAOAAAAZHJzL2Uyb0RvYy54bWysU02P2jAQvVfqf7B8h3w0UIgIq4pAL7SL tNsfYGyHWHVsyzYEVPW/d2wIYttLVTUHZ+yZeX4zb7x4OncSnbh1QqsKZ+MUI66oZkIdKvztdTOa YeQ8UYxIrXiFL9zhp+X7d4velDzXrZaMWwQgypW9qXDrvSmTxNGWd8SNteEKnI22HfGwtYeEWdID eieTPE2nSa8tM1ZT7hyc1lcnXkb8puHUPzeN4x7JCgM3H1cb131Yk+WClAdLTCvojQb5BxYdEQou vUPVxBN0tOIPqE5Qq51u/JjqLtFNIyiPNUA1WfpbNS8tMTzWAs1x5t4m9/9g6dfTziLBKpxjpEgH Em2F4igPnemNKyFgpXY21EbP6sVsNf3ukNKrlqgDjwxfLwbSspCRvEkJG2cAf99/0QxiyNHr2KZz Y7sACQ1A56jG5a4GP3tE4TAr5kU2mWBEB19CyiHRWOc/c92hYFRYAucITE5b5wMRUg4h4R6lN0LK KLZUqK/wfJJPYoLTUrDgDGHOHvYradGJhHGJX6wKPI9hVh8Vi2AtJ2x9sz0R8mrD5VIFPCgF6Nys 6zz8mKfz9Ww9K0ZFPl2PirSuR582q2I03WQfJ/WHerWqs5+BWlaUrWCMq8BumM2s+Dvtb6/kOlX3 6by3IXmLHvsFZId/JB21DPJdB2Gv2WVnB41hHGPw7emEeX/cg/34wJe/AAAA//8DAFBLAwQUAAYA CAAAACEAhSmSlNsAAAAGAQAADwAAAGRycy9kb3ducmV2LnhtbEyPwU7DMBBE70j8g7VIXKrWIYGq CtlUCMiNCwXEdRsvSUS8TmO3DXw9Rj3AcWdGM2+L9WR7deDRd04QrhYJKJbamU4ahNeXar4C5QOJ od4JI3yxh3V5flZQbtxRnvmwCY2KJeJzQmhDGHKtfd2yJb9wA0v0PtxoKcRzbLQZ6RjLba/TJFlq S53EhZYGvm+5/tzsLYKv3nhXfc/qWfKeNY7T3cPTIyFeXkx3t6ACT+EvDL/4ER3KyLR1ezFe9Qjx kYCQra5BRTfNbjJQ25Ogy0L/xy9/AAAA//8DAFBLAQItABQABgAIAAAAIQC2gziS/gAAAOEBAAAT AAAAAAAAAAAAAAAAAAAAAABbQ29udGVudF9UeXBlc10ueG1sUEsBAi0AFAAGAAgAAAAhADj9If/W AAAAlAEAAAsAAAAAAAAAAAAAAAAALwEAAF9yZWxzLy5yZWxzUEsBAi0AFAAGAAgAAAAhAL3qdd0S AgAAKAQAAA4AAAAAAAAAAAAAAAAALgIAAGRycy9lMm9Eb2MueG1sUEsBAi0AFAAGAAgAAAAhAIUp kpTbAAAABgEAAA8AAAAAAAAAAAAAAAAAbAQAAGRycy9kb3ducmV2LnhtbFBLBQYAAAAABAAEAPMA AAB0BQAAAAA= "/>
            </w:pict>
          </mc:Fallback>
        </mc:AlternateContent>
      </w:r>
    </w:p>
    <w:sectPr w:rsidR="006C569F" w:rsidSect="00D0275B">
      <w:pgSz w:w="11907" w:h="16840" w:code="9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8DA1" w14:textId="77777777" w:rsidR="006C569F" w:rsidRDefault="00D0275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9CF8DA2" w14:textId="77777777" w:rsidR="006C569F" w:rsidRDefault="00D0275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A966" w14:textId="77777777" w:rsidR="00D0275B" w:rsidRDefault="00D0275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3C5A" w14:textId="77777777" w:rsidR="00D0275B" w:rsidRDefault="00D0275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AA7E" w14:textId="77777777" w:rsidR="00D0275B" w:rsidRDefault="00D0275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8D9F" w14:textId="77777777" w:rsidR="006C569F" w:rsidRDefault="00D0275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9CF8DA0" w14:textId="77777777" w:rsidR="006C569F" w:rsidRDefault="00D0275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C632" w14:textId="77777777" w:rsidR="00D0275B" w:rsidRDefault="00D027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4291"/>
      <w:docPartObj>
        <w:docPartGallery w:val="Page Numbers (Top of Page)"/>
        <w:docPartUnique/>
      </w:docPartObj>
    </w:sdtPr>
    <w:sdtContent>
      <w:p w14:paraId="4FFFCE1E" w14:textId="5EABCEE5" w:rsidR="00D0275B" w:rsidRDefault="00D027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CF8DA3" w14:textId="77777777" w:rsidR="006C569F" w:rsidRDefault="006C569F">
    <w:pPr>
      <w:tabs>
        <w:tab w:val="center" w:pos="4153"/>
        <w:tab w:val="right" w:pos="8306"/>
      </w:tabs>
      <w:jc w:val="center"/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B45D" w14:textId="77777777" w:rsidR="00D0275B" w:rsidRDefault="00D027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7"/>
    <w:rsid w:val="006C569F"/>
    <w:rsid w:val="00D0275B"/>
    <w:rsid w:val="00D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F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027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75B"/>
  </w:style>
  <w:style w:type="paragraph" w:styleId="Porat">
    <w:name w:val="footer"/>
    <w:basedOn w:val="prastasis"/>
    <w:link w:val="PoratDiagrama"/>
    <w:rsid w:val="00D027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0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027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75B"/>
  </w:style>
  <w:style w:type="paragraph" w:styleId="Porat">
    <w:name w:val="footer"/>
    <w:basedOn w:val="prastasis"/>
    <w:link w:val="PoratDiagrama"/>
    <w:rsid w:val="00D027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0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71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1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7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STUDIJŲ KOKYBĖS VERTINIMO CENTRO DIREKTORIAUS</vt:lpstr>
    </vt:vector>
  </TitlesOfParts>
  <Company>SKVC</Company>
  <LinksUpToDate>false</LinksUpToDate>
  <CharactersWithSpaces>6801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2018-12-21T15:35:00Z</dcterms:created>
  <dc:creator>agne</dc:creator>
  <lastModifiedBy>„Windows“ vartotojas</lastModifiedBy>
  <lastPrinted>2012-08-06T10:35:00Z</lastPrinted>
  <dcterms:modified xsi:type="dcterms:W3CDTF">2018-12-27T08:32:00Z</dcterms:modified>
  <revision>3</revision>
  <dc:title>STUDIJŲ KOKYBĖS VERTINIMO CENTRO DIREKTORIAUS</dc:title>
</coreProperties>
</file>