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10DC" w14:textId="0AEF8960" w:rsidR="00BB3AC0" w:rsidRDefault="009B6F1C" w:rsidP="009B6F1C">
      <w:pPr>
        <w:overflowPunct w:val="0"/>
        <w:jc w:val="center"/>
        <w:textAlignment w:val="baseline"/>
        <w:rPr>
          <w:sz w:val="16"/>
          <w:szCs w:val="16"/>
        </w:rPr>
      </w:pPr>
      <w:r>
        <w:rPr>
          <w:noProof/>
          <w:lang w:eastAsia="lt-LT"/>
        </w:rPr>
        <w:drawing>
          <wp:inline distT="0" distB="0" distL="0" distR="0" wp14:anchorId="5A7512F3" wp14:editId="6495508A">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319E10DD" w14:textId="77777777" w:rsidR="00BB3AC0" w:rsidRDefault="009B6F1C" w:rsidP="009B6F1C">
      <w:pPr>
        <w:overflowPunct w:val="0"/>
        <w:jc w:val="center"/>
        <w:textAlignment w:val="baseline"/>
        <w:rPr>
          <w:b/>
          <w:sz w:val="28"/>
          <w:szCs w:val="28"/>
        </w:rPr>
      </w:pPr>
      <w:r>
        <w:rPr>
          <w:b/>
          <w:sz w:val="28"/>
          <w:szCs w:val="28"/>
        </w:rPr>
        <w:t>LIETUVOS RESPUBLIKOS ŽEMĖS ŪKIO</w:t>
      </w:r>
    </w:p>
    <w:p w14:paraId="319E10DE" w14:textId="77777777" w:rsidR="00BB3AC0" w:rsidRDefault="009B6F1C" w:rsidP="009B6F1C">
      <w:pPr>
        <w:overflowPunct w:val="0"/>
        <w:jc w:val="center"/>
        <w:textAlignment w:val="baseline"/>
        <w:rPr>
          <w:b/>
          <w:sz w:val="28"/>
          <w:szCs w:val="28"/>
        </w:rPr>
      </w:pPr>
      <w:r>
        <w:rPr>
          <w:b/>
          <w:sz w:val="28"/>
          <w:szCs w:val="28"/>
        </w:rPr>
        <w:t>MINISTRAS</w:t>
      </w:r>
    </w:p>
    <w:p w14:paraId="319E10DF" w14:textId="77777777" w:rsidR="00BB3AC0" w:rsidRDefault="00BB3AC0" w:rsidP="009B6F1C">
      <w:pPr>
        <w:overflowPunct w:val="0"/>
        <w:jc w:val="center"/>
        <w:textAlignment w:val="baseline"/>
        <w:rPr>
          <w:b/>
          <w:sz w:val="28"/>
          <w:szCs w:val="28"/>
        </w:rPr>
      </w:pPr>
    </w:p>
    <w:p w14:paraId="319E10E0" w14:textId="77777777" w:rsidR="00BB3AC0" w:rsidRDefault="009B6F1C" w:rsidP="009B6F1C">
      <w:pPr>
        <w:overflowPunct w:val="0"/>
        <w:jc w:val="center"/>
        <w:textAlignment w:val="baseline"/>
        <w:rPr>
          <w:b/>
          <w:szCs w:val="24"/>
        </w:rPr>
      </w:pPr>
      <w:r>
        <w:rPr>
          <w:b/>
          <w:szCs w:val="24"/>
        </w:rPr>
        <w:t>ĮSAKYMAS</w:t>
      </w:r>
    </w:p>
    <w:p w14:paraId="319E10E4" w14:textId="29F11AC2" w:rsidR="00BB3AC0" w:rsidRDefault="009B6F1C" w:rsidP="009B6F1C">
      <w:pPr>
        <w:overflowPunct w:val="0"/>
        <w:jc w:val="center"/>
        <w:textAlignment w:val="baseline"/>
        <w:rPr>
          <w:b/>
          <w:caps/>
          <w:lang w:val="en-GB"/>
        </w:rPr>
      </w:pPr>
      <w:proofErr w:type="gramStart"/>
      <w:r>
        <w:rPr>
          <w:b/>
          <w:szCs w:val="24"/>
          <w:lang w:val="en-GB"/>
        </w:rPr>
        <w:t>DĖL ŽEMĖS ŪKIO MINISTRO 2014 M. LAPKRIČIO 27 D. ĮSAKYMO NR.</w:t>
      </w:r>
      <w:proofErr w:type="gramEnd"/>
      <w:r>
        <w:rPr>
          <w:b/>
          <w:szCs w:val="24"/>
          <w:lang w:val="en-GB"/>
        </w:rPr>
        <w:t xml:space="preserve"> 3D-889 „DĖL DIRBTINAI SUKURTŲ SĄLYGŲ PARAMAI GAUTI NUSTATYMO METODIKOS PATVIRTINIMO</w:t>
      </w:r>
      <w:proofErr w:type="gramStart"/>
      <w:r>
        <w:rPr>
          <w:b/>
          <w:szCs w:val="24"/>
          <w:lang w:val="en-GB"/>
        </w:rPr>
        <w:t>“ PAKEITIMO</w:t>
      </w:r>
      <w:proofErr w:type="gramEnd"/>
    </w:p>
    <w:p w14:paraId="219C4D4F" w14:textId="77777777" w:rsidR="009B6F1C" w:rsidRPr="009B6F1C" w:rsidRDefault="009B6F1C" w:rsidP="009B6F1C">
      <w:pPr>
        <w:overflowPunct w:val="0"/>
        <w:jc w:val="center"/>
        <w:textAlignment w:val="baseline"/>
        <w:rPr>
          <w:b/>
          <w:caps/>
          <w:lang w:val="en-GB"/>
        </w:rPr>
      </w:pPr>
    </w:p>
    <w:p w14:paraId="319E10E5" w14:textId="77777777" w:rsidR="00BB3AC0" w:rsidRDefault="009B6F1C" w:rsidP="009B6F1C">
      <w:pPr>
        <w:overflowPunct w:val="0"/>
        <w:jc w:val="center"/>
        <w:textAlignment w:val="baseline"/>
      </w:pPr>
      <w:r>
        <w:t>2015 m. balandžio 24 d. Nr. 3D-330</w:t>
      </w:r>
    </w:p>
    <w:p w14:paraId="319E10E6" w14:textId="77777777" w:rsidR="00BB3AC0" w:rsidRDefault="009B6F1C" w:rsidP="009B6F1C">
      <w:pPr>
        <w:overflowPunct w:val="0"/>
        <w:jc w:val="center"/>
        <w:textAlignment w:val="baseline"/>
      </w:pPr>
      <w:r>
        <w:t>Vilnius</w:t>
      </w:r>
    </w:p>
    <w:p w14:paraId="319E10E7" w14:textId="77777777" w:rsidR="00BB3AC0" w:rsidRDefault="00BB3AC0" w:rsidP="009B6F1C">
      <w:pPr>
        <w:overflowPunct w:val="0"/>
        <w:jc w:val="center"/>
        <w:textAlignment w:val="baseline"/>
      </w:pPr>
    </w:p>
    <w:p w14:paraId="56B2F1BF" w14:textId="77777777" w:rsidR="009B6F1C" w:rsidRDefault="009B6F1C" w:rsidP="009B6F1C">
      <w:pPr>
        <w:overflowPunct w:val="0"/>
        <w:jc w:val="center"/>
        <w:textAlignment w:val="baseline"/>
      </w:pPr>
    </w:p>
    <w:p w14:paraId="319E10EA" w14:textId="6968AB17" w:rsidR="00BB3AC0" w:rsidRDefault="009B6F1C" w:rsidP="009B6F1C">
      <w:pPr>
        <w:overflowPunct w:val="0"/>
        <w:spacing w:line="360" w:lineRule="auto"/>
        <w:ind w:firstLine="720"/>
        <w:jc w:val="both"/>
        <w:textAlignment w:val="baseline"/>
        <w:rPr>
          <w:szCs w:val="24"/>
        </w:rPr>
      </w:pPr>
      <w:r>
        <w:rPr>
          <w:szCs w:val="24"/>
        </w:rPr>
        <w:t>P a k e i č i u Dirbtinai sukurtų sąlygų paramai gauti nustatymo metodikos, patvirtintos Lietuvos Respublikos žemės ūkio ministro 2014 m. lapkričio 27 d. įsakymu Nr. 3D-889 „Dėl Dirbtinai sukurtų sąlygų paramai gauti nustatymo metodikos patvirtinimo“, 1 priedą ir jį išdėstau  nauja redakcija (pridedama).</w:t>
      </w:r>
    </w:p>
    <w:p w14:paraId="3E177B39" w14:textId="74E6B717" w:rsidR="009B6F1C" w:rsidRDefault="009B6F1C" w:rsidP="009B6F1C">
      <w:pPr>
        <w:overflowPunct w:val="0"/>
        <w:jc w:val="both"/>
        <w:textAlignment w:val="baseline"/>
      </w:pPr>
    </w:p>
    <w:p w14:paraId="7A7C2DD6" w14:textId="77777777" w:rsidR="009B6F1C" w:rsidRDefault="009B6F1C" w:rsidP="009B6F1C">
      <w:pPr>
        <w:overflowPunct w:val="0"/>
        <w:jc w:val="both"/>
        <w:textAlignment w:val="baseline"/>
      </w:pPr>
    </w:p>
    <w:p w14:paraId="08F774FD" w14:textId="77777777" w:rsidR="009B6F1C" w:rsidRDefault="009B6F1C" w:rsidP="009B6F1C">
      <w:pPr>
        <w:overflowPunct w:val="0"/>
        <w:jc w:val="both"/>
        <w:textAlignment w:val="baseline"/>
      </w:pPr>
      <w:bookmarkStart w:id="0" w:name="_GoBack"/>
      <w:bookmarkEnd w:id="0"/>
    </w:p>
    <w:p w14:paraId="1F0AFAF5" w14:textId="3F2895E3" w:rsidR="009B6F1C" w:rsidRDefault="009B6F1C" w:rsidP="009B6F1C">
      <w:pPr>
        <w:tabs>
          <w:tab w:val="left" w:pos="7371"/>
        </w:tabs>
        <w:overflowPunct w:val="0"/>
        <w:jc w:val="both"/>
        <w:textAlignment w:val="baseline"/>
        <w:rPr>
          <w:szCs w:val="24"/>
        </w:rPr>
      </w:pPr>
      <w:r>
        <w:rPr>
          <w:szCs w:val="24"/>
        </w:rPr>
        <w:t>Žemės ūkio ministrė</w:t>
      </w:r>
      <w:r>
        <w:rPr>
          <w:szCs w:val="24"/>
        </w:rPr>
        <w:tab/>
        <w:t xml:space="preserve">Virginija </w:t>
      </w:r>
      <w:proofErr w:type="spellStart"/>
      <w:r>
        <w:rPr>
          <w:szCs w:val="24"/>
        </w:rPr>
        <w:t>Baltraitienė</w:t>
      </w:r>
      <w:proofErr w:type="spellEnd"/>
    </w:p>
    <w:p w14:paraId="754C05CF" w14:textId="33216935" w:rsidR="009B6F1C" w:rsidRDefault="009B6F1C" w:rsidP="009B6F1C">
      <w:pPr>
        <w:tabs>
          <w:tab w:val="left" w:pos="7371"/>
        </w:tabs>
        <w:overflowPunct w:val="0"/>
        <w:jc w:val="both"/>
        <w:textAlignment w:val="baseline"/>
        <w:rPr>
          <w:szCs w:val="24"/>
        </w:rPr>
        <w:sectPr w:rsidR="009B6F1C">
          <w:headerReference w:type="even" r:id="rId10"/>
          <w:footerReference w:type="even" r:id="rId11"/>
          <w:footerReference w:type="default" r:id="rId12"/>
          <w:headerReference w:type="first" r:id="rId13"/>
          <w:footerReference w:type="first" r:id="rId14"/>
          <w:pgSz w:w="11907" w:h="16840"/>
          <w:pgMar w:top="1247" w:right="567" w:bottom="1134" w:left="1701" w:header="567" w:footer="567" w:gutter="0"/>
          <w:cols w:space="1296"/>
        </w:sectPr>
      </w:pPr>
    </w:p>
    <w:p w14:paraId="5C44244B" w14:textId="77777777" w:rsidR="009B6F1C" w:rsidRPr="009B6F1C" w:rsidRDefault="009B6F1C" w:rsidP="009B6F1C">
      <w:pPr>
        <w:ind w:left="10370"/>
        <w:rPr>
          <w:rFonts w:eastAsia="Calibri"/>
          <w:szCs w:val="22"/>
        </w:rPr>
      </w:pPr>
      <w:r w:rsidRPr="009B6F1C">
        <w:rPr>
          <w:rFonts w:eastAsia="Calibri"/>
          <w:szCs w:val="22"/>
        </w:rPr>
        <w:lastRenderedPageBreak/>
        <w:t xml:space="preserve">Dirbtinai sukurtų sąlygų paramai gauti nustatymo metodikos </w:t>
      </w:r>
    </w:p>
    <w:p w14:paraId="3D312B63" w14:textId="6E9BC0F7" w:rsidR="009B6F1C" w:rsidRPr="009B6F1C" w:rsidRDefault="00955C1F" w:rsidP="009B6F1C">
      <w:pPr>
        <w:ind w:left="10370"/>
        <w:rPr>
          <w:rFonts w:eastAsia="Calibri"/>
          <w:szCs w:val="22"/>
        </w:rPr>
      </w:pPr>
      <w:r w:rsidR="009B6F1C" w:rsidRPr="009B6F1C">
        <w:rPr>
          <w:rFonts w:eastAsia="Calibri"/>
          <w:szCs w:val="22"/>
        </w:rPr>
        <w:t>1</w:t>
      </w:r>
      <w:r w:rsidR="009B6F1C" w:rsidRPr="009B6F1C">
        <w:rPr>
          <w:rFonts w:eastAsia="Calibri"/>
          <w:szCs w:val="22"/>
        </w:rPr>
        <w:t xml:space="preserve"> priedas</w:t>
      </w:r>
    </w:p>
    <w:p w14:paraId="225A3C26" w14:textId="77777777" w:rsidR="009B6F1C" w:rsidRPr="009B6F1C" w:rsidRDefault="009B6F1C" w:rsidP="009B6F1C">
      <w:pPr>
        <w:ind w:left="10370"/>
        <w:rPr>
          <w:rFonts w:eastAsia="Calibri"/>
          <w:szCs w:val="22"/>
        </w:rPr>
      </w:pPr>
    </w:p>
    <w:p w14:paraId="7AC246B5" w14:textId="77777777" w:rsidR="009B6F1C" w:rsidRPr="009B6F1C" w:rsidRDefault="009B6F1C" w:rsidP="009B6F1C">
      <w:pPr>
        <w:keepNext/>
        <w:suppressAutoHyphens/>
        <w:jc w:val="center"/>
        <w:outlineLvl w:val="0"/>
        <w:rPr>
          <w:b/>
          <w:bCs/>
          <w:szCs w:val="24"/>
        </w:rPr>
      </w:pPr>
      <w:r w:rsidRPr="009B6F1C">
        <w:rPr>
          <w:b/>
          <w:bCs/>
          <w:szCs w:val="24"/>
        </w:rPr>
        <w:t>RIZIKOS KRITERIJAI DIRBTINAI SUKURTŲ SĄLYGŲ PARAMAI GAUTI NUSTATYMUI PARAIŠKOS VERTINIMO METU</w:t>
      </w:r>
    </w:p>
    <w:p w14:paraId="0A1F83D8" w14:textId="77777777" w:rsidR="009B6F1C" w:rsidRPr="009B6F1C" w:rsidRDefault="009B6F1C" w:rsidP="009B6F1C">
      <w:pPr>
        <w:keepNext/>
        <w:suppressAutoHyphens/>
        <w:jc w:val="center"/>
        <w:outlineLvl w:val="0"/>
        <w:rPr>
          <w:b/>
          <w:bCs/>
          <w:szCs w:val="24"/>
        </w:rPr>
      </w:pPr>
    </w:p>
    <w:tbl>
      <w:tblPr>
        <w:tblW w:w="0" w:type="auto"/>
        <w:tblInd w:w="-5" w:type="dxa"/>
        <w:tblLayout w:type="fixed"/>
        <w:tblLook w:val="04A0" w:firstRow="1" w:lastRow="0" w:firstColumn="1" w:lastColumn="0" w:noHBand="0" w:noVBand="1"/>
      </w:tblPr>
      <w:tblGrid>
        <w:gridCol w:w="675"/>
        <w:gridCol w:w="2727"/>
        <w:gridCol w:w="10745"/>
      </w:tblGrid>
      <w:tr w:rsidR="009B6F1C" w:rsidRPr="009B6F1C" w14:paraId="488333E7" w14:textId="77777777" w:rsidTr="009B6F1C">
        <w:trPr>
          <w:trHeight w:val="362"/>
        </w:trPr>
        <w:tc>
          <w:tcPr>
            <w:tcW w:w="675" w:type="dxa"/>
            <w:tcBorders>
              <w:top w:val="single" w:sz="4" w:space="0" w:color="000000"/>
              <w:left w:val="single" w:sz="4" w:space="0" w:color="000000"/>
              <w:bottom w:val="single" w:sz="4" w:space="0" w:color="000000"/>
              <w:right w:val="nil"/>
            </w:tcBorders>
            <w:shd w:val="clear" w:color="auto" w:fill="FFFFFF" w:themeFill="background1"/>
            <w:hideMark/>
          </w:tcPr>
          <w:p w14:paraId="7611B322" w14:textId="77777777" w:rsidR="009B6F1C" w:rsidRPr="009B6F1C" w:rsidRDefault="009B6F1C" w:rsidP="009B6F1C">
            <w:pPr>
              <w:tabs>
                <w:tab w:val="left" w:pos="2302"/>
              </w:tabs>
              <w:suppressAutoHyphens/>
              <w:snapToGrid w:val="0"/>
              <w:jc w:val="both"/>
              <w:rPr>
                <w:b/>
                <w:szCs w:val="24"/>
                <w:lang w:eastAsia="ar-SA"/>
              </w:rPr>
            </w:pPr>
            <w:r w:rsidRPr="009B6F1C">
              <w:rPr>
                <w:b/>
                <w:szCs w:val="24"/>
                <w:lang w:eastAsia="ar-SA"/>
              </w:rPr>
              <w:t>Eil. Nr.</w:t>
            </w:r>
          </w:p>
        </w:tc>
        <w:tc>
          <w:tcPr>
            <w:tcW w:w="2727" w:type="dxa"/>
            <w:tcBorders>
              <w:top w:val="single" w:sz="4" w:space="0" w:color="000000"/>
              <w:left w:val="single" w:sz="4" w:space="0" w:color="000000"/>
              <w:bottom w:val="single" w:sz="4" w:space="0" w:color="000000"/>
              <w:right w:val="nil"/>
            </w:tcBorders>
            <w:shd w:val="clear" w:color="auto" w:fill="FFFFFF" w:themeFill="background1"/>
            <w:hideMark/>
          </w:tcPr>
          <w:p w14:paraId="20120C00" w14:textId="77777777" w:rsidR="009B6F1C" w:rsidRPr="009B6F1C" w:rsidRDefault="009B6F1C" w:rsidP="009B6F1C">
            <w:pPr>
              <w:snapToGrid w:val="0"/>
              <w:ind w:left="72" w:hanging="72"/>
              <w:jc w:val="both"/>
              <w:outlineLvl w:val="2"/>
              <w:rPr>
                <w:b/>
                <w:szCs w:val="24"/>
              </w:rPr>
            </w:pPr>
            <w:r w:rsidRPr="009B6F1C">
              <w:rPr>
                <w:b/>
                <w:szCs w:val="24"/>
              </w:rPr>
              <w:t>Rizikos kriterijus</w:t>
            </w:r>
          </w:p>
        </w:tc>
        <w:tc>
          <w:tcPr>
            <w:tcW w:w="1074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F631E02" w14:textId="77777777" w:rsidR="009B6F1C" w:rsidRPr="009B6F1C" w:rsidRDefault="009B6F1C" w:rsidP="009B6F1C">
            <w:pPr>
              <w:tabs>
                <w:tab w:val="left" w:pos="2302"/>
              </w:tabs>
              <w:suppressAutoHyphens/>
              <w:ind w:left="38"/>
              <w:jc w:val="both"/>
              <w:rPr>
                <w:b/>
                <w:szCs w:val="24"/>
                <w:lang w:eastAsia="ar-SA"/>
              </w:rPr>
            </w:pPr>
            <w:r w:rsidRPr="009B6F1C">
              <w:rPr>
                <w:b/>
                <w:szCs w:val="24"/>
                <w:lang w:eastAsia="ar-SA"/>
              </w:rPr>
              <w:t>Rizikos kriterijų detalizuojantys požymiai</w:t>
            </w:r>
          </w:p>
        </w:tc>
      </w:tr>
      <w:tr w:rsidR="009B6F1C" w:rsidRPr="009B6F1C" w14:paraId="37B8237F" w14:textId="77777777" w:rsidTr="009B6F1C">
        <w:tc>
          <w:tcPr>
            <w:tcW w:w="675" w:type="dxa"/>
            <w:tcBorders>
              <w:top w:val="single" w:sz="4" w:space="0" w:color="000000"/>
              <w:left w:val="single" w:sz="4" w:space="0" w:color="000000"/>
              <w:bottom w:val="single" w:sz="4" w:space="0" w:color="000000"/>
              <w:right w:val="nil"/>
            </w:tcBorders>
            <w:hideMark/>
          </w:tcPr>
          <w:p w14:paraId="6C6B0473" w14:textId="77777777" w:rsidR="009B6F1C" w:rsidRPr="009B6F1C" w:rsidRDefault="009B6F1C" w:rsidP="009B6F1C">
            <w:pPr>
              <w:jc w:val="both"/>
              <w:rPr>
                <w:rFonts w:eastAsia="Calibri"/>
                <w:szCs w:val="24"/>
                <w:lang w:eastAsia="ar-SA"/>
              </w:rPr>
            </w:pPr>
            <w:r w:rsidRPr="009B6F1C">
              <w:rPr>
                <w:rFonts w:eastAsia="Calibri"/>
                <w:szCs w:val="24"/>
                <w:lang w:eastAsia="ar-SA"/>
              </w:rPr>
              <w:t>1.</w:t>
            </w:r>
          </w:p>
        </w:tc>
        <w:tc>
          <w:tcPr>
            <w:tcW w:w="2727" w:type="dxa"/>
            <w:tcBorders>
              <w:top w:val="single" w:sz="4" w:space="0" w:color="000000"/>
              <w:left w:val="single" w:sz="4" w:space="0" w:color="000000"/>
              <w:bottom w:val="single" w:sz="4" w:space="0" w:color="000000"/>
              <w:right w:val="nil"/>
            </w:tcBorders>
            <w:hideMark/>
          </w:tcPr>
          <w:p w14:paraId="6096A051" w14:textId="77777777" w:rsidR="009B6F1C" w:rsidRPr="009B6F1C" w:rsidRDefault="009B6F1C" w:rsidP="009B6F1C">
            <w:pPr>
              <w:snapToGrid w:val="0"/>
              <w:ind w:left="39"/>
              <w:jc w:val="both"/>
              <w:outlineLvl w:val="2"/>
              <w:rPr>
                <w:szCs w:val="24"/>
              </w:rPr>
            </w:pPr>
            <w:r w:rsidRPr="009B6F1C">
              <w:rPr>
                <w:b/>
                <w:color w:val="000000"/>
                <w:szCs w:val="24"/>
                <w:lang w:eastAsia="lt-LT"/>
              </w:rPr>
              <w:t>Projekto (projektų)</w:t>
            </w:r>
            <w:r w:rsidRPr="009B6F1C">
              <w:rPr>
                <w:b/>
                <w:bCs/>
                <w:color w:val="000000"/>
                <w:szCs w:val="24"/>
                <w:lang w:eastAsia="lt-LT"/>
              </w:rPr>
              <w:t xml:space="preserve"> įgyvendinimo vieta</w:t>
            </w:r>
          </w:p>
        </w:tc>
        <w:tc>
          <w:tcPr>
            <w:tcW w:w="10745" w:type="dxa"/>
            <w:tcBorders>
              <w:top w:val="single" w:sz="4" w:space="0" w:color="000000"/>
              <w:left w:val="single" w:sz="4" w:space="0" w:color="000000"/>
              <w:bottom w:val="single" w:sz="4" w:space="0" w:color="000000"/>
              <w:right w:val="single" w:sz="4" w:space="0" w:color="000000"/>
            </w:tcBorders>
          </w:tcPr>
          <w:p w14:paraId="0D913CE3" w14:textId="77777777" w:rsidR="009B6F1C" w:rsidRPr="009B6F1C" w:rsidRDefault="009B6F1C" w:rsidP="009B6F1C">
            <w:pPr>
              <w:tabs>
                <w:tab w:val="left" w:pos="34"/>
                <w:tab w:val="left" w:pos="2302"/>
              </w:tabs>
              <w:suppressAutoHyphens/>
              <w:ind w:left="38"/>
              <w:jc w:val="both"/>
              <w:rPr>
                <w:color w:val="000000"/>
                <w:szCs w:val="24"/>
                <w:lang w:eastAsia="lt-LT"/>
              </w:rPr>
            </w:pPr>
            <w:r w:rsidRPr="009B6F1C">
              <w:rPr>
                <w:color w:val="000000"/>
                <w:szCs w:val="24"/>
                <w:lang w:eastAsia="lt-LT"/>
              </w:rPr>
              <w:t>1. Kelios (2 ir daugiau) įmonės ir (arba) fiziniai asmenys planuoja įgyvendinti ir (arba) įgyvendina projektus tuose pačiuose pastatuose ir (arba) tuose pačiuose žemės sklypuose (pvz., pagal kadastro unikalius numerius).</w:t>
            </w:r>
          </w:p>
          <w:p w14:paraId="17D994CD" w14:textId="77777777" w:rsidR="009B6F1C" w:rsidRPr="009B6F1C" w:rsidRDefault="009B6F1C" w:rsidP="009B6F1C">
            <w:pPr>
              <w:tabs>
                <w:tab w:val="left" w:pos="2302"/>
              </w:tabs>
              <w:suppressAutoHyphens/>
              <w:ind w:left="38"/>
              <w:jc w:val="both"/>
              <w:rPr>
                <w:color w:val="000000"/>
                <w:szCs w:val="24"/>
                <w:lang w:eastAsia="lt-LT"/>
              </w:rPr>
            </w:pPr>
            <w:r w:rsidRPr="009B6F1C">
              <w:rPr>
                <w:color w:val="000000"/>
                <w:szCs w:val="24"/>
                <w:lang w:eastAsia="lt-LT"/>
              </w:rPr>
              <w:t>2. Keli projektai įgyvendinami gretimuose (t. y. šalia esančiuose, kaimyniniuose) žemės sklypuose arba žemės sklypai ribojami vienas su kitu, arba žemės sklypai priklauso tiems patiems subjektams (nuosavybės, nuomos arba kitais teisėtais valdymo pagrindais) (pvz., pagal VĮ Registrų centro duomenis).</w:t>
            </w:r>
          </w:p>
          <w:p w14:paraId="112E4921" w14:textId="77777777" w:rsidR="009B6F1C" w:rsidRPr="009B6F1C" w:rsidRDefault="009B6F1C" w:rsidP="009B6F1C">
            <w:pPr>
              <w:tabs>
                <w:tab w:val="left" w:pos="2302"/>
              </w:tabs>
              <w:suppressAutoHyphens/>
              <w:ind w:left="38"/>
              <w:jc w:val="both"/>
              <w:rPr>
                <w:szCs w:val="24"/>
                <w:lang w:eastAsia="ar-SA"/>
              </w:rPr>
            </w:pPr>
          </w:p>
        </w:tc>
      </w:tr>
      <w:tr w:rsidR="009B6F1C" w:rsidRPr="009B6F1C" w14:paraId="78C93ABE" w14:textId="77777777" w:rsidTr="009B6F1C">
        <w:trPr>
          <w:trHeight w:val="1920"/>
        </w:trPr>
        <w:tc>
          <w:tcPr>
            <w:tcW w:w="675" w:type="dxa"/>
            <w:tcBorders>
              <w:top w:val="single" w:sz="4" w:space="0" w:color="000000"/>
              <w:left w:val="single" w:sz="4" w:space="0" w:color="000000"/>
              <w:bottom w:val="single" w:sz="4" w:space="0" w:color="000000"/>
              <w:right w:val="nil"/>
            </w:tcBorders>
            <w:hideMark/>
          </w:tcPr>
          <w:p w14:paraId="2E3694EE" w14:textId="77777777" w:rsidR="009B6F1C" w:rsidRPr="009B6F1C" w:rsidRDefault="009B6F1C" w:rsidP="009B6F1C">
            <w:pPr>
              <w:ind w:left="142"/>
              <w:jc w:val="both"/>
              <w:rPr>
                <w:rFonts w:eastAsia="Calibri"/>
                <w:szCs w:val="24"/>
                <w:lang w:eastAsia="ar-SA"/>
              </w:rPr>
            </w:pPr>
            <w:r w:rsidRPr="009B6F1C">
              <w:rPr>
                <w:rFonts w:eastAsia="Calibri"/>
                <w:szCs w:val="24"/>
                <w:lang w:eastAsia="ar-SA"/>
              </w:rPr>
              <w:t>2.</w:t>
            </w:r>
          </w:p>
        </w:tc>
        <w:tc>
          <w:tcPr>
            <w:tcW w:w="2727" w:type="dxa"/>
            <w:tcBorders>
              <w:top w:val="single" w:sz="4" w:space="0" w:color="000000"/>
              <w:left w:val="single" w:sz="4" w:space="0" w:color="000000"/>
              <w:bottom w:val="single" w:sz="4" w:space="0" w:color="000000"/>
              <w:right w:val="nil"/>
            </w:tcBorders>
            <w:hideMark/>
          </w:tcPr>
          <w:p w14:paraId="7EFC4779" w14:textId="77777777" w:rsidR="009B6F1C" w:rsidRPr="009B6F1C" w:rsidRDefault="009B6F1C" w:rsidP="009B6F1C">
            <w:pPr>
              <w:snapToGrid w:val="0"/>
              <w:ind w:left="39"/>
              <w:jc w:val="both"/>
              <w:outlineLvl w:val="2"/>
              <w:rPr>
                <w:b/>
                <w:bCs/>
                <w:color w:val="000000"/>
                <w:szCs w:val="24"/>
                <w:lang w:eastAsia="lt-LT"/>
              </w:rPr>
            </w:pPr>
            <w:r w:rsidRPr="009B6F1C">
              <w:rPr>
                <w:b/>
                <w:bCs/>
                <w:color w:val="000000"/>
                <w:szCs w:val="24"/>
                <w:lang w:eastAsia="lt-LT"/>
              </w:rPr>
              <w:t>Projekte (projektuose) numatyta vykdyti arba vykdoma veikla</w:t>
            </w:r>
          </w:p>
        </w:tc>
        <w:tc>
          <w:tcPr>
            <w:tcW w:w="10745" w:type="dxa"/>
            <w:tcBorders>
              <w:top w:val="single" w:sz="4" w:space="0" w:color="000000"/>
              <w:left w:val="single" w:sz="4" w:space="0" w:color="000000"/>
              <w:bottom w:val="single" w:sz="4" w:space="0" w:color="000000"/>
              <w:right w:val="single" w:sz="4" w:space="0" w:color="000000"/>
            </w:tcBorders>
            <w:hideMark/>
          </w:tcPr>
          <w:p w14:paraId="2F4EE512" w14:textId="77777777" w:rsidR="009B6F1C" w:rsidRPr="009B6F1C" w:rsidRDefault="009B6F1C" w:rsidP="009B6F1C">
            <w:pPr>
              <w:tabs>
                <w:tab w:val="left" w:pos="0"/>
                <w:tab w:val="left" w:pos="63"/>
                <w:tab w:val="left" w:pos="2302"/>
              </w:tabs>
              <w:suppressAutoHyphens/>
              <w:ind w:left="5"/>
              <w:jc w:val="both"/>
              <w:rPr>
                <w:color w:val="000000"/>
                <w:szCs w:val="24"/>
                <w:lang w:eastAsia="lt-LT"/>
              </w:rPr>
            </w:pPr>
            <w:r w:rsidRPr="009B6F1C">
              <w:rPr>
                <w:color w:val="000000"/>
                <w:szCs w:val="24"/>
                <w:lang w:eastAsia="lt-LT"/>
              </w:rPr>
              <w:t>1. Skirtingų pareiškėjų ir (arba) paramos gavėjų projektuose numatyta vykdyti ir (arba) vykdoma tokia pat veikla (pvz., pagal E</w:t>
            </w:r>
            <w:r w:rsidRPr="009B6F1C">
              <w:rPr>
                <w:color w:val="222222"/>
                <w:lang w:eastAsia="ar-SA"/>
              </w:rPr>
              <w:t>konominės veiklos rūšių klasifikatorių</w:t>
            </w:r>
            <w:r w:rsidRPr="009B6F1C">
              <w:rPr>
                <w:rFonts w:ascii="Arial" w:hAnsi="Arial" w:cs="Arial"/>
                <w:color w:val="222222"/>
                <w:lang w:eastAsia="ar-SA"/>
              </w:rPr>
              <w:t xml:space="preserve"> (</w:t>
            </w:r>
            <w:r w:rsidRPr="009B6F1C">
              <w:rPr>
                <w:color w:val="000000"/>
                <w:szCs w:val="24"/>
                <w:lang w:eastAsia="lt-LT"/>
              </w:rPr>
              <w:t>EVRK), išskyrus atvejus, kai projektus vykdo tas pats pareiškėjas arba paramos gavėjas.</w:t>
            </w:r>
          </w:p>
          <w:p w14:paraId="00B69D9D" w14:textId="77777777" w:rsidR="009B6F1C" w:rsidRPr="009B6F1C" w:rsidRDefault="009B6F1C" w:rsidP="009B6F1C">
            <w:pPr>
              <w:numPr>
                <w:ilvl w:val="0"/>
                <w:numId w:val="1"/>
              </w:numPr>
              <w:tabs>
                <w:tab w:val="left" w:pos="5"/>
                <w:tab w:val="left" w:pos="63"/>
                <w:tab w:val="left" w:pos="346"/>
              </w:tabs>
              <w:suppressAutoHyphens/>
              <w:spacing w:after="200" w:line="276" w:lineRule="auto"/>
              <w:ind w:left="5"/>
              <w:contextualSpacing/>
              <w:jc w:val="both"/>
              <w:rPr>
                <w:color w:val="000000"/>
                <w:szCs w:val="24"/>
                <w:lang w:eastAsia="lt-LT"/>
              </w:rPr>
            </w:pPr>
            <w:r w:rsidRPr="009B6F1C">
              <w:rPr>
                <w:color w:val="000000"/>
                <w:szCs w:val="24"/>
                <w:lang w:eastAsia="lt-LT"/>
              </w:rPr>
              <w:t>Skirtingų pareiškėjų ir (arba) paramos gavėjų planuojama arba vykdoma veikla turi įtakos viena kitai, t. y. galutiniam rezultatui gauti reikalinga dviejų ar daugiau įmonių veikla ir (arba) investicijos (pvz., pagal vidinių ir išorės registrų duomenis).</w:t>
            </w:r>
          </w:p>
        </w:tc>
      </w:tr>
      <w:tr w:rsidR="009B6F1C" w:rsidRPr="009B6F1C" w14:paraId="11BC18D6" w14:textId="77777777" w:rsidTr="009B6F1C">
        <w:trPr>
          <w:trHeight w:val="990"/>
        </w:trPr>
        <w:tc>
          <w:tcPr>
            <w:tcW w:w="675" w:type="dxa"/>
            <w:tcBorders>
              <w:top w:val="single" w:sz="4" w:space="0" w:color="000000"/>
              <w:left w:val="single" w:sz="4" w:space="0" w:color="000000"/>
              <w:bottom w:val="single" w:sz="4" w:space="0" w:color="000000"/>
              <w:right w:val="nil"/>
            </w:tcBorders>
            <w:hideMark/>
          </w:tcPr>
          <w:p w14:paraId="5ADF7965" w14:textId="77777777" w:rsidR="009B6F1C" w:rsidRPr="009B6F1C" w:rsidRDefault="009B6F1C" w:rsidP="009B6F1C">
            <w:pPr>
              <w:ind w:left="142"/>
              <w:jc w:val="both"/>
              <w:rPr>
                <w:rFonts w:eastAsia="Calibri"/>
                <w:szCs w:val="24"/>
                <w:lang w:eastAsia="ar-SA"/>
              </w:rPr>
            </w:pPr>
            <w:r w:rsidRPr="009B6F1C">
              <w:rPr>
                <w:rFonts w:eastAsia="Calibri"/>
                <w:szCs w:val="24"/>
                <w:lang w:eastAsia="ar-SA"/>
              </w:rPr>
              <w:t>3.</w:t>
            </w:r>
          </w:p>
        </w:tc>
        <w:tc>
          <w:tcPr>
            <w:tcW w:w="2727" w:type="dxa"/>
            <w:tcBorders>
              <w:top w:val="single" w:sz="4" w:space="0" w:color="000000"/>
              <w:left w:val="single" w:sz="4" w:space="0" w:color="000000"/>
              <w:bottom w:val="single" w:sz="4" w:space="0" w:color="000000"/>
              <w:right w:val="nil"/>
            </w:tcBorders>
          </w:tcPr>
          <w:p w14:paraId="4A40EBFC" w14:textId="77777777" w:rsidR="009B6F1C" w:rsidRPr="009B6F1C" w:rsidRDefault="009B6F1C" w:rsidP="009B6F1C">
            <w:pPr>
              <w:snapToGrid w:val="0"/>
              <w:ind w:left="39"/>
              <w:jc w:val="both"/>
              <w:outlineLvl w:val="2"/>
              <w:rPr>
                <w:b/>
                <w:bCs/>
                <w:color w:val="000000"/>
                <w:szCs w:val="24"/>
                <w:lang w:eastAsia="lt-LT"/>
              </w:rPr>
            </w:pPr>
            <w:r w:rsidRPr="009B6F1C">
              <w:rPr>
                <w:b/>
                <w:bCs/>
                <w:color w:val="000000"/>
                <w:szCs w:val="24"/>
                <w:lang w:eastAsia="lt-LT"/>
              </w:rPr>
              <w:t>Susiję asmenys, susiję projektai, įmonės partnerės</w:t>
            </w:r>
          </w:p>
          <w:p w14:paraId="37AA09A6" w14:textId="77777777" w:rsidR="009B6F1C" w:rsidRPr="009B6F1C" w:rsidRDefault="009B6F1C" w:rsidP="009B6F1C">
            <w:pPr>
              <w:spacing w:after="200" w:line="276" w:lineRule="auto"/>
              <w:rPr>
                <w:rFonts w:ascii="Calibri" w:eastAsia="Calibri" w:hAnsi="Calibri"/>
                <w:sz w:val="22"/>
                <w:szCs w:val="22"/>
                <w:lang w:eastAsia="lt-LT"/>
              </w:rPr>
            </w:pPr>
          </w:p>
        </w:tc>
        <w:tc>
          <w:tcPr>
            <w:tcW w:w="10745" w:type="dxa"/>
            <w:tcBorders>
              <w:top w:val="single" w:sz="4" w:space="0" w:color="000000"/>
              <w:left w:val="single" w:sz="4" w:space="0" w:color="000000"/>
              <w:bottom w:val="single" w:sz="4" w:space="0" w:color="000000"/>
              <w:right w:val="single" w:sz="4" w:space="0" w:color="000000"/>
            </w:tcBorders>
            <w:hideMark/>
          </w:tcPr>
          <w:p w14:paraId="1140FCC0" w14:textId="77777777" w:rsidR="009B6F1C" w:rsidRPr="009B6F1C" w:rsidRDefault="009B6F1C" w:rsidP="009B6F1C">
            <w:pPr>
              <w:numPr>
                <w:ilvl w:val="0"/>
                <w:numId w:val="2"/>
              </w:numPr>
              <w:tabs>
                <w:tab w:val="left" w:pos="346"/>
                <w:tab w:val="left" w:pos="2302"/>
              </w:tabs>
              <w:suppressAutoHyphens/>
              <w:spacing w:after="200" w:line="276" w:lineRule="auto"/>
              <w:contextualSpacing/>
              <w:jc w:val="both"/>
              <w:rPr>
                <w:color w:val="000000"/>
                <w:szCs w:val="24"/>
                <w:lang w:eastAsia="lt-LT"/>
              </w:rPr>
            </w:pPr>
            <w:r w:rsidRPr="009B6F1C">
              <w:rPr>
                <w:color w:val="000000"/>
                <w:szCs w:val="24"/>
                <w:lang w:eastAsia="lt-LT"/>
              </w:rPr>
              <w:t>Keliose skirtingose įmonėse ir (arba) skirtinguose projektuose yra vienas ir tas pats direktorius ir (arba) akcininkas ir (arba) pajininkas (pvz., pagal Agentūros informacinėse sistemose esančius duomenis).</w:t>
            </w:r>
          </w:p>
          <w:p w14:paraId="052D0441" w14:textId="77777777" w:rsidR="009B6F1C" w:rsidRPr="009B6F1C" w:rsidRDefault="009B6F1C" w:rsidP="009B6F1C">
            <w:pPr>
              <w:numPr>
                <w:ilvl w:val="0"/>
                <w:numId w:val="2"/>
              </w:numPr>
              <w:tabs>
                <w:tab w:val="left" w:pos="2302"/>
              </w:tabs>
              <w:suppressAutoHyphens/>
              <w:spacing w:after="200" w:line="276" w:lineRule="auto"/>
              <w:ind w:left="318" w:hanging="284"/>
              <w:jc w:val="both"/>
              <w:rPr>
                <w:szCs w:val="24"/>
                <w:lang w:eastAsia="lt-LT"/>
              </w:rPr>
            </w:pPr>
            <w:r w:rsidRPr="009B6F1C">
              <w:rPr>
                <w:szCs w:val="24"/>
                <w:lang w:eastAsia="lt-LT"/>
              </w:rPr>
              <w:t>Įmonėms atstovauja asmenys, kurie yra tarpusavyje susiję, remiantis SVVĮ.</w:t>
            </w:r>
          </w:p>
          <w:p w14:paraId="2B08F56D" w14:textId="77777777" w:rsidR="009B6F1C" w:rsidRPr="009B6F1C" w:rsidRDefault="009B6F1C" w:rsidP="009B6F1C">
            <w:pPr>
              <w:numPr>
                <w:ilvl w:val="0"/>
                <w:numId w:val="2"/>
              </w:numPr>
              <w:tabs>
                <w:tab w:val="left" w:pos="2302"/>
              </w:tabs>
              <w:suppressAutoHyphens/>
              <w:spacing w:after="200" w:line="276" w:lineRule="auto"/>
              <w:ind w:left="318" w:hanging="284"/>
              <w:jc w:val="both"/>
              <w:rPr>
                <w:szCs w:val="24"/>
                <w:lang w:eastAsia="lt-LT"/>
              </w:rPr>
            </w:pPr>
            <w:r w:rsidRPr="009B6F1C">
              <w:rPr>
                <w:szCs w:val="24"/>
                <w:lang w:eastAsia="lt-LT"/>
              </w:rPr>
              <w:t>Yra tas pats įmonės steigėjas</w:t>
            </w:r>
            <w:r w:rsidRPr="009B6F1C">
              <w:rPr>
                <w:color w:val="000000"/>
                <w:szCs w:val="24"/>
                <w:lang w:eastAsia="lt-LT"/>
              </w:rPr>
              <w:t>.</w:t>
            </w:r>
          </w:p>
        </w:tc>
      </w:tr>
      <w:tr w:rsidR="009B6F1C" w:rsidRPr="009B6F1C" w14:paraId="4272B92A" w14:textId="77777777" w:rsidTr="009B6F1C">
        <w:tc>
          <w:tcPr>
            <w:tcW w:w="675" w:type="dxa"/>
            <w:tcBorders>
              <w:top w:val="single" w:sz="4" w:space="0" w:color="000000"/>
              <w:left w:val="single" w:sz="4" w:space="0" w:color="000000"/>
              <w:bottom w:val="single" w:sz="4" w:space="0" w:color="000000"/>
              <w:right w:val="nil"/>
            </w:tcBorders>
            <w:hideMark/>
          </w:tcPr>
          <w:p w14:paraId="78119318" w14:textId="77777777" w:rsidR="009B6F1C" w:rsidRPr="009B6F1C" w:rsidRDefault="009B6F1C" w:rsidP="009B6F1C">
            <w:pPr>
              <w:ind w:left="142"/>
              <w:jc w:val="both"/>
              <w:rPr>
                <w:rFonts w:eastAsia="Calibri"/>
                <w:szCs w:val="24"/>
                <w:lang w:eastAsia="ar-SA"/>
              </w:rPr>
            </w:pPr>
            <w:r w:rsidRPr="009B6F1C">
              <w:rPr>
                <w:rFonts w:eastAsia="Calibri"/>
                <w:szCs w:val="24"/>
                <w:lang w:eastAsia="ar-SA"/>
              </w:rPr>
              <w:t>4.</w:t>
            </w:r>
          </w:p>
        </w:tc>
        <w:tc>
          <w:tcPr>
            <w:tcW w:w="2727" w:type="dxa"/>
            <w:tcBorders>
              <w:top w:val="single" w:sz="4" w:space="0" w:color="000000"/>
              <w:left w:val="single" w:sz="4" w:space="0" w:color="000000"/>
              <w:bottom w:val="single" w:sz="4" w:space="0" w:color="000000"/>
              <w:right w:val="nil"/>
            </w:tcBorders>
            <w:hideMark/>
          </w:tcPr>
          <w:p w14:paraId="5544F940" w14:textId="77777777" w:rsidR="009B6F1C" w:rsidRPr="009B6F1C" w:rsidRDefault="009B6F1C" w:rsidP="009B6F1C">
            <w:pPr>
              <w:snapToGrid w:val="0"/>
              <w:ind w:left="39"/>
              <w:jc w:val="both"/>
              <w:outlineLvl w:val="2"/>
              <w:rPr>
                <w:b/>
                <w:bCs/>
                <w:color w:val="000000"/>
                <w:szCs w:val="24"/>
                <w:lang w:eastAsia="lt-LT"/>
              </w:rPr>
            </w:pPr>
            <w:r w:rsidRPr="009B6F1C">
              <w:rPr>
                <w:b/>
                <w:bCs/>
                <w:color w:val="000000"/>
                <w:szCs w:val="24"/>
                <w:lang w:eastAsia="lt-LT"/>
              </w:rPr>
              <w:t>Pareiškėjo arba paramos gavėjo patirtis įgyvendinant paramos projektus</w:t>
            </w:r>
          </w:p>
        </w:tc>
        <w:tc>
          <w:tcPr>
            <w:tcW w:w="10745" w:type="dxa"/>
            <w:tcBorders>
              <w:top w:val="single" w:sz="4" w:space="0" w:color="000000"/>
              <w:left w:val="single" w:sz="4" w:space="0" w:color="000000"/>
              <w:bottom w:val="single" w:sz="4" w:space="0" w:color="000000"/>
              <w:right w:val="single" w:sz="4" w:space="0" w:color="000000"/>
            </w:tcBorders>
          </w:tcPr>
          <w:p w14:paraId="521AFDEA" w14:textId="77777777" w:rsidR="009B6F1C" w:rsidRPr="009B6F1C" w:rsidRDefault="009B6F1C" w:rsidP="009B6F1C">
            <w:pPr>
              <w:tabs>
                <w:tab w:val="left" w:pos="771"/>
                <w:tab w:val="left" w:pos="2302"/>
              </w:tabs>
              <w:suppressAutoHyphens/>
              <w:jc w:val="both"/>
              <w:rPr>
                <w:color w:val="000000"/>
                <w:szCs w:val="24"/>
                <w:lang w:eastAsia="lt-LT"/>
              </w:rPr>
            </w:pPr>
            <w:r w:rsidRPr="009B6F1C">
              <w:rPr>
                <w:color w:val="000000"/>
                <w:szCs w:val="24"/>
                <w:lang w:eastAsia="lt-LT"/>
              </w:rPr>
              <w:t>Jei įmonės, įgyvendinančios arba planuojančios įgyvendinti projektą (projektus), įsteigtos ne anksčiau kaip prieš pusmetį prieš paraiškos pateikimą (įmonės registracijos data), skirtingų pareiškėjų įmonių įsteigimo diena ir (arba) paraiškos pateikimo diena ta pati (pvz., pagal Agentūros informacinėse sistemose esančius duomenis).</w:t>
            </w:r>
          </w:p>
          <w:p w14:paraId="708BE8E6" w14:textId="77777777" w:rsidR="009B6F1C" w:rsidRPr="009B6F1C" w:rsidRDefault="009B6F1C" w:rsidP="009B6F1C">
            <w:pPr>
              <w:tabs>
                <w:tab w:val="left" w:pos="747"/>
                <w:tab w:val="left" w:pos="2302"/>
              </w:tabs>
              <w:suppressAutoHyphens/>
              <w:ind w:left="360"/>
              <w:jc w:val="both"/>
              <w:rPr>
                <w:color w:val="000000"/>
                <w:szCs w:val="24"/>
                <w:lang w:eastAsia="lt-LT"/>
              </w:rPr>
            </w:pPr>
          </w:p>
        </w:tc>
      </w:tr>
    </w:tbl>
    <w:p w14:paraId="77D43BEB" w14:textId="1ADAE72B" w:rsidR="00955C1F" w:rsidRPr="00955C1F" w:rsidRDefault="009B6F1C" w:rsidP="00955C1F">
      <w:pPr>
        <w:ind w:left="10370" w:hanging="10370"/>
        <w:jc w:val="center"/>
        <w:rPr>
          <w:rFonts w:eastAsia="Calibri"/>
          <w:szCs w:val="22"/>
        </w:rPr>
      </w:pPr>
      <w:r w:rsidRPr="009B6F1C">
        <w:rPr>
          <w:rFonts w:eastAsia="Calibri"/>
          <w:szCs w:val="22"/>
        </w:rPr>
        <w:t>_______________________</w:t>
      </w:r>
    </w:p>
    <w:sectPr w:rsidR="00955C1F" w:rsidRPr="00955C1F" w:rsidSect="009B6F1C">
      <w:pgSz w:w="16840" w:h="11907" w:orient="landscape"/>
      <w:pgMar w:top="993" w:right="1247" w:bottom="567" w:left="1134"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E10FF" w14:textId="77777777" w:rsidR="00BB3AC0" w:rsidRDefault="009B6F1C">
      <w:pPr>
        <w:overflowPunct w:val="0"/>
        <w:jc w:val="both"/>
        <w:textAlignment w:val="baseline"/>
        <w:rPr>
          <w:lang w:val="en-GB"/>
        </w:rPr>
      </w:pPr>
      <w:r>
        <w:rPr>
          <w:lang w:val="en-GB"/>
        </w:rPr>
        <w:separator/>
      </w:r>
    </w:p>
  </w:endnote>
  <w:endnote w:type="continuationSeparator" w:id="0">
    <w:p w14:paraId="319E1100" w14:textId="77777777" w:rsidR="00BB3AC0" w:rsidRDefault="009B6F1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1103" w14:textId="77777777" w:rsidR="00BB3AC0" w:rsidRDefault="00BB3AC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1104" w14:textId="77777777" w:rsidR="00BB3AC0" w:rsidRDefault="00BB3AC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1106" w14:textId="77777777" w:rsidR="00BB3AC0" w:rsidRDefault="00BB3AC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E10FD" w14:textId="77777777" w:rsidR="00BB3AC0" w:rsidRDefault="009B6F1C">
      <w:pPr>
        <w:overflowPunct w:val="0"/>
        <w:jc w:val="both"/>
        <w:textAlignment w:val="baseline"/>
        <w:rPr>
          <w:lang w:val="en-GB"/>
        </w:rPr>
      </w:pPr>
      <w:r>
        <w:rPr>
          <w:lang w:val="en-GB"/>
        </w:rPr>
        <w:separator/>
      </w:r>
    </w:p>
  </w:footnote>
  <w:footnote w:type="continuationSeparator" w:id="0">
    <w:p w14:paraId="319E10FE" w14:textId="77777777" w:rsidR="00BB3AC0" w:rsidRDefault="009B6F1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1101" w14:textId="77777777" w:rsidR="00BB3AC0" w:rsidRDefault="00BB3AC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1105" w14:textId="77777777" w:rsidR="00BB3AC0" w:rsidRDefault="00BB3AC0">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16850"/>
    <w:multiLevelType w:val="hybridMultilevel"/>
    <w:tmpl w:val="756ADBDA"/>
    <w:lvl w:ilvl="0" w:tplc="F6DACEE0">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E6F4578"/>
    <w:multiLevelType w:val="hybridMultilevel"/>
    <w:tmpl w:val="011E5E8A"/>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72"/>
    <w:rsid w:val="003D7672"/>
    <w:rsid w:val="00955C1F"/>
    <w:rsid w:val="009B6F1C"/>
    <w:rsid w:val="00BB3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19E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B6F1C"/>
    <w:rPr>
      <w:color w:val="808080"/>
    </w:rPr>
  </w:style>
  <w:style w:type="paragraph" w:styleId="Antrats">
    <w:name w:val="header"/>
    <w:basedOn w:val="prastasis"/>
    <w:link w:val="AntratsDiagrama"/>
    <w:rsid w:val="009B6F1C"/>
    <w:pPr>
      <w:tabs>
        <w:tab w:val="center" w:pos="4819"/>
        <w:tab w:val="right" w:pos="9638"/>
      </w:tabs>
    </w:pPr>
  </w:style>
  <w:style w:type="character" w:customStyle="1" w:styleId="AntratsDiagrama">
    <w:name w:val="Antraštės Diagrama"/>
    <w:basedOn w:val="Numatytasispastraiposriftas"/>
    <w:link w:val="Antrats"/>
    <w:rsid w:val="009B6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B6F1C"/>
    <w:rPr>
      <w:color w:val="808080"/>
    </w:rPr>
  </w:style>
  <w:style w:type="paragraph" w:styleId="Antrats">
    <w:name w:val="header"/>
    <w:basedOn w:val="prastasis"/>
    <w:link w:val="AntratsDiagrama"/>
    <w:rsid w:val="009B6F1C"/>
    <w:pPr>
      <w:tabs>
        <w:tab w:val="center" w:pos="4819"/>
        <w:tab w:val="right" w:pos="9638"/>
      </w:tabs>
    </w:pPr>
  </w:style>
  <w:style w:type="character" w:customStyle="1" w:styleId="AntratsDiagrama">
    <w:name w:val="Antraštės Diagrama"/>
    <w:basedOn w:val="Numatytasispastraiposriftas"/>
    <w:link w:val="Antrats"/>
    <w:rsid w:val="009B6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45855">
      <w:bodyDiv w:val="1"/>
      <w:marLeft w:val="0"/>
      <w:marRight w:val="0"/>
      <w:marTop w:val="0"/>
      <w:marBottom w:val="0"/>
      <w:divBdr>
        <w:top w:val="none" w:sz="0" w:space="0" w:color="auto"/>
        <w:left w:val="none" w:sz="0" w:space="0" w:color="auto"/>
        <w:bottom w:val="none" w:sz="0" w:space="0" w:color="auto"/>
        <w:right w:val="none" w:sz="0" w:space="0" w:color="auto"/>
      </w:divBdr>
    </w:div>
    <w:div w:id="16017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36805716-0AD4-48CC-9C83-1277017734B4}"/>
      </w:docPartPr>
      <w:docPartBody>
        <w:p w14:paraId="4C702336" w14:textId="77777777" w:rsidR="00037B4C" w:rsidRDefault="007D30A9">
          <w:r w:rsidRPr="00395C5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A9"/>
    <w:rsid w:val="00037B4C"/>
    <w:rsid w:val="007D30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C7023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30A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30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2430</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2015-04-24T11:47:00Z</dcterms:created>
  <dcterms:modified xsi:type="dcterms:W3CDTF">2016-01-28T14:29:00Z</dcterms:modified>
  <revision>1</revision>
</coreProperties>
</file>