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791F8" w14:textId="77777777" w:rsidR="00170BB2" w:rsidRDefault="00170BB2">
      <w:pPr>
        <w:tabs>
          <w:tab w:val="center" w:pos="4320"/>
          <w:tab w:val="right" w:pos="8640"/>
        </w:tabs>
      </w:pPr>
    </w:p>
    <w:p w14:paraId="192791F9" w14:textId="77777777" w:rsidR="00170BB2" w:rsidRDefault="00A5209E">
      <w:pPr>
        <w:jc w:val="center"/>
        <w:rPr>
          <w:szCs w:val="24"/>
        </w:rPr>
      </w:pPr>
      <w:r>
        <w:rPr>
          <w:szCs w:val="24"/>
        </w:rPr>
        <w:object w:dxaOrig="811" w:dyaOrig="961" w14:anchorId="19279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19649417" r:id="rId9"/>
        </w:object>
      </w:r>
    </w:p>
    <w:p w14:paraId="192791FA" w14:textId="77777777" w:rsidR="00170BB2" w:rsidRDefault="00170BB2">
      <w:pPr>
        <w:jc w:val="center"/>
        <w:rPr>
          <w:sz w:val="4"/>
          <w:szCs w:val="4"/>
        </w:rPr>
      </w:pPr>
    </w:p>
    <w:p w14:paraId="192791FB" w14:textId="77777777" w:rsidR="00170BB2" w:rsidRDefault="00170BB2">
      <w:pPr>
        <w:jc w:val="center"/>
        <w:rPr>
          <w:b/>
          <w:szCs w:val="24"/>
        </w:rPr>
      </w:pPr>
    </w:p>
    <w:p w14:paraId="192791FC" w14:textId="77777777" w:rsidR="00170BB2" w:rsidRDefault="00A5209E">
      <w:pPr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192791FD" w14:textId="77777777" w:rsidR="00170BB2" w:rsidRDefault="00170BB2">
      <w:pPr>
        <w:jc w:val="center"/>
        <w:rPr>
          <w:b/>
          <w:szCs w:val="24"/>
        </w:rPr>
      </w:pPr>
    </w:p>
    <w:p w14:paraId="192791FE" w14:textId="77777777" w:rsidR="00170BB2" w:rsidRDefault="00170BB2">
      <w:pPr>
        <w:jc w:val="center"/>
        <w:rPr>
          <w:szCs w:val="24"/>
        </w:rPr>
      </w:pPr>
    </w:p>
    <w:p w14:paraId="192791FF" w14:textId="77777777" w:rsidR="00170BB2" w:rsidRDefault="00A5209E">
      <w:pPr>
        <w:jc w:val="center"/>
        <w:rPr>
          <w:szCs w:val="24"/>
        </w:rPr>
      </w:pPr>
      <w:r>
        <w:rPr>
          <w:b/>
          <w:szCs w:val="24"/>
        </w:rPr>
        <w:t>ĮSAKYMAS</w:t>
      </w:r>
    </w:p>
    <w:p w14:paraId="19279200" w14:textId="77777777" w:rsidR="00170BB2" w:rsidRDefault="00A5209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</w:t>
      </w:r>
      <w:r>
        <w:rPr>
          <w:b/>
          <w:bCs/>
          <w:caps/>
          <w:szCs w:val="24"/>
        </w:rPr>
        <w:t xml:space="preserve">Uždarųjų jonizuojančiosios spinduliuotės šaltinių </w:t>
      </w:r>
      <w:r>
        <w:rPr>
          <w:b/>
          <w:bCs/>
          <w:szCs w:val="24"/>
        </w:rPr>
        <w:t xml:space="preserve">PAVOJINGUMO </w:t>
      </w:r>
      <w:r>
        <w:rPr>
          <w:b/>
          <w:bCs/>
          <w:caps/>
          <w:szCs w:val="24"/>
        </w:rPr>
        <w:t>kategorijŲ A</w:t>
      </w:r>
      <w:r>
        <w:rPr>
          <w:b/>
          <w:bCs/>
          <w:szCs w:val="24"/>
        </w:rPr>
        <w:t>PRAŠO PATVIRTINIMO</w:t>
      </w:r>
    </w:p>
    <w:p w14:paraId="19279201" w14:textId="77777777" w:rsidR="00170BB2" w:rsidRDefault="00170BB2">
      <w:pPr>
        <w:jc w:val="center"/>
        <w:rPr>
          <w:b/>
          <w:bCs/>
          <w:szCs w:val="24"/>
        </w:rPr>
      </w:pPr>
    </w:p>
    <w:p w14:paraId="19279202" w14:textId="77777777" w:rsidR="00170BB2" w:rsidRDefault="00A5209E">
      <w:pPr>
        <w:jc w:val="center"/>
        <w:rPr>
          <w:szCs w:val="24"/>
        </w:rPr>
      </w:pPr>
      <w:r>
        <w:rPr>
          <w:szCs w:val="24"/>
        </w:rPr>
        <w:t>2016 m. kovo 14 d. Nr. V-362</w:t>
      </w:r>
    </w:p>
    <w:p w14:paraId="19279203" w14:textId="77777777" w:rsidR="00170BB2" w:rsidRDefault="00A5209E">
      <w:pPr>
        <w:jc w:val="center"/>
        <w:rPr>
          <w:szCs w:val="24"/>
        </w:rPr>
      </w:pPr>
      <w:r>
        <w:rPr>
          <w:szCs w:val="24"/>
        </w:rPr>
        <w:t>Vilnius</w:t>
      </w:r>
    </w:p>
    <w:p w14:paraId="19279204" w14:textId="77777777" w:rsidR="00170BB2" w:rsidRDefault="00170BB2">
      <w:pPr>
        <w:jc w:val="center"/>
        <w:rPr>
          <w:szCs w:val="24"/>
        </w:rPr>
      </w:pPr>
    </w:p>
    <w:p w14:paraId="19279205" w14:textId="77777777" w:rsidR="00170BB2" w:rsidRDefault="00170BB2">
      <w:pPr>
        <w:jc w:val="center"/>
        <w:rPr>
          <w:szCs w:val="24"/>
        </w:rPr>
      </w:pPr>
    </w:p>
    <w:p w14:paraId="19279206" w14:textId="77777777" w:rsidR="00170BB2" w:rsidRDefault="00A5209E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Vadovaudamasis Lietuvos </w:t>
      </w:r>
      <w:r>
        <w:rPr>
          <w:szCs w:val="24"/>
        </w:rPr>
        <w:t>Respublikos radiacinės saugos įstatymo 6 straipsnio 2 dalies 10 punktu:</w:t>
      </w:r>
    </w:p>
    <w:p w14:paraId="19279207" w14:textId="77777777" w:rsidR="00170BB2" w:rsidRDefault="00A5209E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 v i r t i n u Uždarųjų jonizuojančiosios spinduliuotės šaltinių pavojingumo kategorijų aprašą (pridedama).</w:t>
      </w:r>
    </w:p>
    <w:p w14:paraId="19279208" w14:textId="77777777" w:rsidR="00170BB2" w:rsidRDefault="00A5209E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 r i p a ž į s t u netekusiu galios </w:t>
      </w:r>
      <w:r>
        <w:rPr>
          <w:color w:val="000000"/>
          <w:szCs w:val="24"/>
        </w:rPr>
        <w:t>Lietuvos Respublikos sve</w:t>
      </w:r>
      <w:r>
        <w:rPr>
          <w:color w:val="000000"/>
          <w:szCs w:val="24"/>
        </w:rPr>
        <w:t>ikatos apsaugos ministro 2005 m. vasario 22 d. įsakymą Nr. V-136 „Dėl potencialiai pavojingų įrenginių su jonizuojančiosios spinduliuotės šaltiniais kategorijų patvirtinimo ir jų valstybinės radiacinės saugos priežiūros ir kontrolės“.</w:t>
      </w:r>
    </w:p>
    <w:p w14:paraId="19279209" w14:textId="77777777" w:rsidR="00170BB2" w:rsidRDefault="00A5209E"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 a v e d u ši</w:t>
      </w:r>
      <w:r>
        <w:rPr>
          <w:szCs w:val="24"/>
        </w:rPr>
        <w:t>o įsakymo vykdymą kontroliuoti viceministrui pagal veiklos sritį.</w:t>
      </w:r>
    </w:p>
    <w:p w14:paraId="1927920E" w14:textId="55571A29" w:rsidR="00170BB2" w:rsidRDefault="00A5209E" w:rsidP="00A5209E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N u s t a t a u, kad šis įsakymas įsigalioja 2016 m. gegužės 1 d.</w:t>
      </w:r>
    </w:p>
    <w:p w14:paraId="7FFFE038" w14:textId="77777777" w:rsidR="00A5209E" w:rsidRDefault="00A5209E"/>
    <w:p w14:paraId="246B1E9D" w14:textId="77777777" w:rsidR="00A5209E" w:rsidRDefault="00A5209E"/>
    <w:p w14:paraId="3C822408" w14:textId="77777777" w:rsidR="00A5209E" w:rsidRDefault="00A5209E"/>
    <w:p w14:paraId="1927920F" w14:textId="1649B32A" w:rsidR="00170BB2" w:rsidRDefault="00A5209E">
      <w:r>
        <w:t>Finansų ministras,</w:t>
      </w:r>
    </w:p>
    <w:p w14:paraId="19279210" w14:textId="77777777" w:rsidR="00170BB2" w:rsidRDefault="00A5209E">
      <w:pPr>
        <w:tabs>
          <w:tab w:val="right" w:pos="9639"/>
        </w:tabs>
        <w:jc w:val="both"/>
        <w:rPr>
          <w:szCs w:val="24"/>
        </w:rPr>
      </w:pPr>
      <w:r>
        <w:rPr>
          <w:szCs w:val="24"/>
        </w:rPr>
        <w:t>laikinai einantis sveikatos apsaugos ministro pareigas</w:t>
      </w:r>
      <w:r>
        <w:rPr>
          <w:szCs w:val="24"/>
        </w:rPr>
        <w:tab/>
        <w:t>Rimantas Šadžius</w:t>
      </w:r>
    </w:p>
    <w:p w14:paraId="19279211" w14:textId="77777777" w:rsidR="00170BB2" w:rsidRDefault="00170BB2">
      <w:pPr>
        <w:tabs>
          <w:tab w:val="left" w:pos="5400"/>
          <w:tab w:val="right" w:pos="9808"/>
        </w:tabs>
        <w:rPr>
          <w:szCs w:val="24"/>
        </w:rPr>
      </w:pPr>
    </w:p>
    <w:p w14:paraId="19279212" w14:textId="77777777" w:rsidR="00170BB2" w:rsidRDefault="00170BB2">
      <w:pPr>
        <w:tabs>
          <w:tab w:val="left" w:pos="5400"/>
          <w:tab w:val="right" w:pos="9808"/>
        </w:tabs>
        <w:rPr>
          <w:szCs w:val="24"/>
        </w:rPr>
        <w:sectPr w:rsidR="00170B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9279213" w14:textId="77777777" w:rsidR="00170BB2" w:rsidRDefault="00A5209E">
      <w:pPr>
        <w:tabs>
          <w:tab w:val="center" w:pos="4320"/>
          <w:tab w:val="right" w:pos="8640"/>
        </w:tabs>
      </w:pPr>
    </w:p>
    <w:p w14:paraId="19279214" w14:textId="77777777" w:rsidR="00170BB2" w:rsidRDefault="00A5209E">
      <w:pPr>
        <w:ind w:left="4680"/>
        <w:rPr>
          <w:szCs w:val="24"/>
        </w:rPr>
      </w:pPr>
      <w:r>
        <w:rPr>
          <w:szCs w:val="24"/>
        </w:rPr>
        <w:t>PATVIRTINTA</w:t>
      </w:r>
    </w:p>
    <w:p w14:paraId="19279215" w14:textId="77777777" w:rsidR="00170BB2" w:rsidRDefault="00A5209E">
      <w:pPr>
        <w:ind w:left="4680"/>
        <w:rPr>
          <w:szCs w:val="24"/>
        </w:rPr>
      </w:pPr>
      <w:r>
        <w:rPr>
          <w:szCs w:val="24"/>
        </w:rPr>
        <w:t>Lietuvos Respublikos sveikatos apsaugos ministro</w:t>
      </w:r>
    </w:p>
    <w:p w14:paraId="19279216" w14:textId="77777777" w:rsidR="00170BB2" w:rsidRDefault="00A5209E">
      <w:pPr>
        <w:ind w:left="4680"/>
        <w:rPr>
          <w:b/>
          <w:szCs w:val="24"/>
        </w:rPr>
      </w:pPr>
      <w:r>
        <w:rPr>
          <w:szCs w:val="24"/>
        </w:rPr>
        <w:t>2016 m. kovo 14 d. įsakymu Nr. V-362</w:t>
      </w:r>
    </w:p>
    <w:p w14:paraId="19279217" w14:textId="77777777" w:rsidR="00170BB2" w:rsidRDefault="00170BB2">
      <w:pPr>
        <w:jc w:val="center"/>
        <w:rPr>
          <w:b/>
          <w:szCs w:val="24"/>
          <w:lang w:eastAsia="lt-LT"/>
        </w:rPr>
      </w:pPr>
    </w:p>
    <w:p w14:paraId="19279218" w14:textId="77777777" w:rsidR="00170BB2" w:rsidRDefault="00170BB2">
      <w:pPr>
        <w:jc w:val="center"/>
        <w:rPr>
          <w:b/>
          <w:szCs w:val="24"/>
          <w:lang w:eastAsia="lt-LT"/>
        </w:rPr>
      </w:pPr>
    </w:p>
    <w:p w14:paraId="19279219" w14:textId="77777777" w:rsidR="00170BB2" w:rsidRDefault="00A5209E">
      <w:pPr>
        <w:jc w:val="center"/>
        <w:rPr>
          <w:b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uždarųjų jonizuojančiosios spinduliuotės šaltinių pavojingumo kategorijŲ </w:t>
      </w:r>
      <w:r>
        <w:rPr>
          <w:b/>
          <w:szCs w:val="24"/>
          <w:lang w:eastAsia="lt-LT"/>
        </w:rPr>
        <w:t>APRAŠAS</w:t>
      </w:r>
    </w:p>
    <w:p w14:paraId="1927921A" w14:textId="77777777" w:rsidR="00170BB2" w:rsidRDefault="00170BB2">
      <w:pPr>
        <w:jc w:val="center"/>
        <w:rPr>
          <w:b/>
          <w:szCs w:val="24"/>
        </w:rPr>
      </w:pPr>
    </w:p>
    <w:p w14:paraId="1927921B" w14:textId="77777777" w:rsidR="00170BB2" w:rsidRDefault="00A5209E">
      <w:pPr>
        <w:keepNext/>
        <w:jc w:val="center"/>
        <w:outlineLvl w:val="4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14:paraId="1927921C" w14:textId="77777777" w:rsidR="00170BB2" w:rsidRDefault="00A5209E">
      <w:pPr>
        <w:keepNext/>
        <w:jc w:val="center"/>
        <w:outlineLvl w:val="4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1927921D" w14:textId="77777777" w:rsidR="00170BB2" w:rsidRDefault="00170BB2">
      <w:pPr>
        <w:jc w:val="center"/>
        <w:rPr>
          <w:szCs w:val="24"/>
        </w:rPr>
      </w:pPr>
    </w:p>
    <w:p w14:paraId="1927921E" w14:textId="77777777" w:rsidR="00170BB2" w:rsidRDefault="00A5209E">
      <w:pPr>
        <w:keepNext/>
        <w:ind w:firstLine="720"/>
        <w:jc w:val="both"/>
        <w:outlineLvl w:val="3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Uždarųjų jonizuojančiosios spinduliuotės šaltinių pavojingumo kategorijų aprašas (toliau – Aprašas) reglamentuoja uždarųjų jonizuoj</w:t>
      </w:r>
      <w:r>
        <w:rPr>
          <w:szCs w:val="24"/>
          <w:lang w:eastAsia="lt-LT"/>
        </w:rPr>
        <w:t>ančiosios spinduliuotės šaltinių (toliau – uždarasis šaltinis), kurių aktyvumas (toliau – A) didesnis už nereguliuojamojo veikmens lygį, nustatytą Lietuvos higienos normoje HN 73:2001 „Pagrindinės radiacinės saugos normos“, patvirtintoje Lietuvos Respublik</w:t>
      </w:r>
      <w:r>
        <w:rPr>
          <w:szCs w:val="24"/>
          <w:lang w:eastAsia="lt-LT"/>
        </w:rPr>
        <w:t>os sveikatos apsaugos ministro 2001 m. gruodžio 21 d. įsakymu Nr. 663 „Dėl Lietuvos higienos normos HN 73:2001 „Pagrindinės radiacinės saugos normos“ patvirtinimo“ (toliau – Lietuvos higienos norma HN 73:2001 „Pagrindinės radiacinės saugos normos“), pavoji</w:t>
      </w:r>
      <w:r>
        <w:rPr>
          <w:szCs w:val="24"/>
          <w:lang w:eastAsia="lt-LT"/>
        </w:rPr>
        <w:t>ngumo kategorijas atsižvelgiant į jų galimą poveikį žmonėms ir aplinkai dėl jonizuojančiosios spinduliuotės.</w:t>
      </w:r>
    </w:p>
    <w:p w14:paraId="1927921F" w14:textId="77777777" w:rsidR="00170BB2" w:rsidRDefault="00A5209E">
      <w:pPr>
        <w:keepNext/>
        <w:ind w:firstLine="720"/>
        <w:jc w:val="both"/>
        <w:outlineLvl w:val="3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Apraše vartojamos sąvokos:</w:t>
      </w:r>
    </w:p>
    <w:p w14:paraId="19279220" w14:textId="77777777" w:rsidR="00170BB2" w:rsidRDefault="00A5209E">
      <w:pPr>
        <w:tabs>
          <w:tab w:val="left" w:pos="397"/>
        </w:tabs>
        <w:ind w:right="-1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D vertė</w:t>
      </w:r>
      <w:r>
        <w:rPr>
          <w:szCs w:val="24"/>
          <w:lang w:eastAsia="lt-LT"/>
        </w:rPr>
        <w:t xml:space="preserve"> (toliau – D) – jonizuojančiosios spinduliuotės šaltinyje esančių radionuklidų A vertė, kuriai esan</w:t>
      </w:r>
      <w:r>
        <w:rPr>
          <w:szCs w:val="24"/>
          <w:lang w:eastAsia="lt-LT"/>
        </w:rPr>
        <w:t>t jonizuojančiosios spinduliuotės šaltinis, jei jis nėra tinkamai kontroliuojamas, gali sukelti sunkius nulemtuosius efektus;</w:t>
      </w:r>
    </w:p>
    <w:p w14:paraId="19279221" w14:textId="77777777" w:rsidR="00170BB2" w:rsidRDefault="00A5209E">
      <w:pPr>
        <w:tabs>
          <w:tab w:val="left" w:pos="397"/>
        </w:tabs>
        <w:ind w:right="-1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uždarųjų šaltinių pavojingumo kategorija</w:t>
      </w:r>
      <w:r>
        <w:rPr>
          <w:szCs w:val="24"/>
          <w:lang w:eastAsia="lt-LT"/>
        </w:rPr>
        <w:t xml:space="preserve"> – pagal D nustatomas uždarųjų šaltinių keliamo pavojaus laipsnis;</w:t>
      </w:r>
    </w:p>
    <w:p w14:paraId="19279222" w14:textId="77777777" w:rsidR="00170BB2" w:rsidRDefault="00A5209E">
      <w:pPr>
        <w:tabs>
          <w:tab w:val="left" w:pos="397"/>
        </w:tabs>
        <w:ind w:right="-1" w:firstLine="720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 kitos</w:t>
      </w:r>
      <w:r>
        <w:rPr>
          <w:szCs w:val="24"/>
        </w:rPr>
        <w:t xml:space="preserve"> Apraše vartojamos sąvokos suprantamos taip, kaip jos apibrėžtos Lietuvos Respublikos radiacinės saugos įstatyme, Lietuvos higienos normoje HN 73:2001 „Pagrindinės radiacinės saugos normos“ ir kituose teisės aktuose, reglamentuojančiuose radiacinę saugą ir</w:t>
      </w:r>
      <w:r>
        <w:rPr>
          <w:szCs w:val="24"/>
        </w:rPr>
        <w:t xml:space="preserve"> uždarųjų šaltinių fizinę saugą.</w:t>
      </w:r>
    </w:p>
    <w:p w14:paraId="19279223" w14:textId="77777777" w:rsidR="00170BB2" w:rsidRDefault="00A5209E">
      <w:pPr>
        <w:tabs>
          <w:tab w:val="left" w:pos="397"/>
        </w:tabs>
        <w:ind w:right="-1"/>
        <w:jc w:val="both"/>
        <w:rPr>
          <w:szCs w:val="24"/>
        </w:rPr>
      </w:pPr>
    </w:p>
    <w:p w14:paraId="19279224" w14:textId="77777777" w:rsidR="00170BB2" w:rsidRDefault="00A5209E">
      <w:pPr>
        <w:tabs>
          <w:tab w:val="left" w:pos="397"/>
        </w:tabs>
        <w:ind w:right="-1"/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19279225" w14:textId="77777777" w:rsidR="00170BB2" w:rsidRDefault="00A5209E">
      <w:pPr>
        <w:tabs>
          <w:tab w:val="left" w:pos="397"/>
        </w:tabs>
        <w:ind w:right="-1"/>
        <w:jc w:val="center"/>
        <w:rPr>
          <w:b/>
          <w:szCs w:val="24"/>
        </w:rPr>
      </w:pPr>
      <w:r>
        <w:rPr>
          <w:b/>
          <w:szCs w:val="24"/>
        </w:rPr>
        <w:t>UŽDARŲJŲ ŠALTINIŲ PAVOJINGUMO KATEGORIJOS</w:t>
      </w:r>
    </w:p>
    <w:p w14:paraId="19279226" w14:textId="77777777" w:rsidR="00170BB2" w:rsidRDefault="00170BB2">
      <w:pPr>
        <w:tabs>
          <w:tab w:val="left" w:pos="397"/>
        </w:tabs>
        <w:ind w:right="-1"/>
        <w:jc w:val="center"/>
        <w:rPr>
          <w:b/>
          <w:szCs w:val="24"/>
        </w:rPr>
      </w:pPr>
    </w:p>
    <w:p w14:paraId="19279227" w14:textId="77777777" w:rsidR="00170BB2" w:rsidRDefault="00A5209E">
      <w:pPr>
        <w:tabs>
          <w:tab w:val="left" w:pos="397"/>
        </w:tabs>
        <w:ind w:right="-1"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Uždarųjų šaltinių pavojingumo kategorijos turi būti nustatomos visų jonizuojančiosios spinduliuotės šaltinių, kurių A didesnis už nereguliuojamojo veikme</w:t>
      </w:r>
      <w:r>
        <w:rPr>
          <w:szCs w:val="24"/>
        </w:rPr>
        <w:t>ns lygį, nustatytą Lietuvos higienos normoje HN 73:2001 „Pagrindinės radiacinės saugos normos“.</w:t>
      </w:r>
    </w:p>
    <w:p w14:paraId="19279228" w14:textId="77777777" w:rsidR="00170BB2" w:rsidRDefault="00A5209E">
      <w:pPr>
        <w:tabs>
          <w:tab w:val="left" w:pos="397"/>
        </w:tabs>
        <w:ind w:right="-1"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Aprašo 1 lentelėje nurodytos uždarųjų šaltinių pavojingumo kategorijos.</w:t>
      </w:r>
    </w:p>
    <w:p w14:paraId="19279229" w14:textId="77777777" w:rsidR="00170BB2" w:rsidRDefault="00170BB2">
      <w:pPr>
        <w:tabs>
          <w:tab w:val="left" w:pos="397"/>
        </w:tabs>
        <w:ind w:right="-1" w:firstLine="720"/>
        <w:jc w:val="both"/>
        <w:rPr>
          <w:szCs w:val="24"/>
        </w:rPr>
      </w:pPr>
    </w:p>
    <w:p w14:paraId="1927922A" w14:textId="77777777" w:rsidR="00170BB2" w:rsidRDefault="00A5209E">
      <w:pPr>
        <w:tabs>
          <w:tab w:val="left" w:pos="397"/>
        </w:tabs>
        <w:ind w:right="-1" w:firstLine="720"/>
        <w:jc w:val="both"/>
        <w:rPr>
          <w:szCs w:val="24"/>
        </w:rPr>
      </w:pPr>
      <w:r>
        <w:rPr>
          <w:szCs w:val="24"/>
        </w:rPr>
        <w:t>1 lentelė. Uždarųjų šaltinių pavojingumo kategorijos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862"/>
        <w:gridCol w:w="1878"/>
      </w:tblGrid>
      <w:tr w:rsidR="00170BB2" w14:paraId="1927922F" w14:textId="77777777">
        <w:trPr>
          <w:trHeight w:val="50"/>
        </w:trPr>
        <w:tc>
          <w:tcPr>
            <w:tcW w:w="1908" w:type="dxa"/>
            <w:vAlign w:val="center"/>
          </w:tcPr>
          <w:p w14:paraId="1927922B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Uždarųjų šaltinių</w:t>
            </w:r>
          </w:p>
          <w:p w14:paraId="1927922C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pavojingumo kategorija</w:t>
            </w:r>
          </w:p>
        </w:tc>
        <w:tc>
          <w:tcPr>
            <w:tcW w:w="5862" w:type="dxa"/>
            <w:vAlign w:val="center"/>
          </w:tcPr>
          <w:p w14:paraId="1927922D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Uždarieji šaltiniai</w:t>
            </w:r>
          </w:p>
        </w:tc>
        <w:tc>
          <w:tcPr>
            <w:tcW w:w="1878" w:type="dxa"/>
            <w:vAlign w:val="center"/>
          </w:tcPr>
          <w:p w14:paraId="1927922E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A/D</w:t>
            </w:r>
          </w:p>
        </w:tc>
      </w:tr>
      <w:tr w:rsidR="00170BB2" w14:paraId="19279235" w14:textId="77777777">
        <w:trPr>
          <w:trHeight w:val="45"/>
        </w:trPr>
        <w:tc>
          <w:tcPr>
            <w:tcW w:w="1908" w:type="dxa"/>
            <w:vAlign w:val="center"/>
          </w:tcPr>
          <w:p w14:paraId="19279230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5862" w:type="dxa"/>
            <w:vAlign w:val="center"/>
          </w:tcPr>
          <w:p w14:paraId="19279231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Uždarieji šaltiniai, esantys apšvitinimo įrenginiuose;</w:t>
            </w:r>
          </w:p>
          <w:p w14:paraId="19279232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uždarieji šaltiniai, esantys spindulinės terapijos įrenginiuose;</w:t>
            </w:r>
          </w:p>
          <w:p w14:paraId="19279233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etaloniniai (kalibraciniai) uždarieji šaltiniai</w:t>
            </w:r>
            <w:r>
              <w:rPr>
                <w:szCs w:val="24"/>
                <w:vertAlign w:val="superscript"/>
              </w:rPr>
              <w:t>(1)</w:t>
            </w:r>
          </w:p>
        </w:tc>
        <w:tc>
          <w:tcPr>
            <w:tcW w:w="1878" w:type="dxa"/>
            <w:vAlign w:val="center"/>
          </w:tcPr>
          <w:p w14:paraId="19279234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A/D</w:t>
            </w:r>
            <w:r>
              <w:rPr>
                <w:szCs w:val="24"/>
              </w:rPr>
              <w:sym w:font="Symbol" w:char="F0B3"/>
            </w:r>
            <w:r>
              <w:rPr>
                <w:szCs w:val="24"/>
              </w:rPr>
              <w:t>1000</w:t>
            </w:r>
          </w:p>
        </w:tc>
      </w:tr>
      <w:tr w:rsidR="00170BB2" w14:paraId="1927923B" w14:textId="77777777">
        <w:trPr>
          <w:trHeight w:val="45"/>
        </w:trPr>
        <w:tc>
          <w:tcPr>
            <w:tcW w:w="1908" w:type="dxa"/>
            <w:vAlign w:val="center"/>
          </w:tcPr>
          <w:p w14:paraId="19279236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5862" w:type="dxa"/>
            <w:vAlign w:val="center"/>
          </w:tcPr>
          <w:p w14:paraId="19279237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Uždarieji šaltiniai, </w:t>
            </w:r>
            <w:r>
              <w:rPr>
                <w:szCs w:val="24"/>
              </w:rPr>
              <w:t>esantys gama radiografuose;</w:t>
            </w:r>
          </w:p>
          <w:p w14:paraId="19279238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uždarieji šaltiniai, esantys didelės ir vidutinės dozės galios brachiterapijos įrenginiuose;</w:t>
            </w:r>
          </w:p>
          <w:p w14:paraId="19279239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etaloniniai (kalibraciniai) uždarieji šaltiniai</w:t>
            </w:r>
            <w:r>
              <w:rPr>
                <w:szCs w:val="24"/>
                <w:vertAlign w:val="superscript"/>
              </w:rPr>
              <w:t>(1)</w:t>
            </w:r>
          </w:p>
        </w:tc>
        <w:tc>
          <w:tcPr>
            <w:tcW w:w="1878" w:type="dxa"/>
            <w:vAlign w:val="center"/>
          </w:tcPr>
          <w:p w14:paraId="1927923A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1000&gt;A/D</w:t>
            </w:r>
            <w:r>
              <w:rPr>
                <w:szCs w:val="24"/>
              </w:rPr>
              <w:sym w:font="Symbol" w:char="F0B3"/>
            </w:r>
            <w:r>
              <w:rPr>
                <w:szCs w:val="24"/>
              </w:rPr>
              <w:t>10</w:t>
            </w:r>
          </w:p>
        </w:tc>
      </w:tr>
      <w:tr w:rsidR="00170BB2" w14:paraId="19279241" w14:textId="77777777">
        <w:trPr>
          <w:trHeight w:val="45"/>
        </w:trPr>
        <w:tc>
          <w:tcPr>
            <w:tcW w:w="1908" w:type="dxa"/>
            <w:vAlign w:val="center"/>
          </w:tcPr>
          <w:p w14:paraId="1927923C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smartTag w:uri="urn:schemas-microsoft-com:office:smarttags" w:element="stockticker">
              <w:r>
                <w:rPr>
                  <w:szCs w:val="24"/>
                </w:rPr>
                <w:lastRenderedPageBreak/>
                <w:t>III</w:t>
              </w:r>
            </w:smartTag>
          </w:p>
        </w:tc>
        <w:tc>
          <w:tcPr>
            <w:tcW w:w="5862" w:type="dxa"/>
            <w:vAlign w:val="center"/>
          </w:tcPr>
          <w:p w14:paraId="1927923D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Uždarieji šaltiniai, esantys matavimo įrenginiuose: lygio, svetimkū</w:t>
            </w:r>
            <w:r>
              <w:rPr>
                <w:szCs w:val="24"/>
              </w:rPr>
              <w:t>nių paieškos matuokliuose;</w:t>
            </w:r>
          </w:p>
          <w:p w14:paraId="1927923E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uždarieji šaltiniai, esantys gręžinių tyrimo įrenginiuose;</w:t>
            </w:r>
          </w:p>
          <w:p w14:paraId="1927923F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etaloniniai (kalibraciniai) uždarieji šaltiniai</w:t>
            </w:r>
            <w:r>
              <w:rPr>
                <w:szCs w:val="24"/>
                <w:vertAlign w:val="superscript"/>
              </w:rPr>
              <w:t>(1)</w:t>
            </w:r>
          </w:p>
        </w:tc>
        <w:tc>
          <w:tcPr>
            <w:tcW w:w="1878" w:type="dxa"/>
            <w:vAlign w:val="center"/>
          </w:tcPr>
          <w:p w14:paraId="19279240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10&gt;A/D</w:t>
            </w:r>
            <w:r>
              <w:rPr>
                <w:szCs w:val="24"/>
              </w:rPr>
              <w:sym w:font="Symbol" w:char="F0B3"/>
            </w:r>
            <w:r>
              <w:rPr>
                <w:szCs w:val="24"/>
              </w:rPr>
              <w:t>1</w:t>
            </w:r>
          </w:p>
        </w:tc>
      </w:tr>
      <w:tr w:rsidR="00170BB2" w14:paraId="19279247" w14:textId="77777777">
        <w:trPr>
          <w:trHeight w:val="45"/>
        </w:trPr>
        <w:tc>
          <w:tcPr>
            <w:tcW w:w="1908" w:type="dxa"/>
            <w:vAlign w:val="center"/>
          </w:tcPr>
          <w:p w14:paraId="19279242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5862" w:type="dxa"/>
            <w:vAlign w:val="center"/>
          </w:tcPr>
          <w:p w14:paraId="19279243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Uždarieji šaltiniai, esantys matavimo įrenginiuose: tankio, gylio, drėgmės, užpildos matuokliuose;</w:t>
            </w:r>
          </w:p>
          <w:p w14:paraId="19279244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mažos d</w:t>
            </w:r>
            <w:r>
              <w:rPr>
                <w:szCs w:val="24"/>
              </w:rPr>
              <w:t>ozės galios brachiterapijos uždarieji šaltiniai (išskyrus akių aplikatorius ir ilgalaikius implantuojamuosius uždaruosius šaltinius);</w:t>
            </w:r>
          </w:p>
          <w:p w14:paraId="19279245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etaloniniai (kalibraciniai) uždarieji šaltiniai</w:t>
            </w:r>
            <w:r>
              <w:rPr>
                <w:szCs w:val="24"/>
                <w:vertAlign w:val="superscript"/>
              </w:rPr>
              <w:t>(1)</w:t>
            </w:r>
          </w:p>
        </w:tc>
        <w:tc>
          <w:tcPr>
            <w:tcW w:w="1878" w:type="dxa"/>
            <w:vAlign w:val="center"/>
          </w:tcPr>
          <w:p w14:paraId="19279246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1&gt;A/D</w:t>
            </w:r>
            <w:r>
              <w:rPr>
                <w:szCs w:val="24"/>
              </w:rPr>
              <w:sym w:font="Symbol" w:char="F0B3"/>
            </w:r>
            <w:r>
              <w:rPr>
                <w:szCs w:val="24"/>
              </w:rPr>
              <w:t>0,01</w:t>
            </w:r>
          </w:p>
        </w:tc>
      </w:tr>
      <w:tr w:rsidR="00170BB2" w14:paraId="1927924C" w14:textId="77777777">
        <w:trPr>
          <w:trHeight w:val="45"/>
        </w:trPr>
        <w:tc>
          <w:tcPr>
            <w:tcW w:w="1908" w:type="dxa"/>
            <w:vAlign w:val="center"/>
          </w:tcPr>
          <w:p w14:paraId="19279248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5862" w:type="dxa"/>
            <w:vAlign w:val="center"/>
          </w:tcPr>
          <w:p w14:paraId="19279249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Uždarieji šaltiniai, esantys mažos dozės galios akių </w:t>
            </w:r>
            <w:r>
              <w:rPr>
                <w:szCs w:val="24"/>
              </w:rPr>
              <w:t>aplikatoriuose, ir ilgalaikiai implantuojamieji brachiterapijos uždarieji šaltiniai;</w:t>
            </w:r>
          </w:p>
          <w:p w14:paraId="1927924A" w14:textId="77777777" w:rsidR="00170BB2" w:rsidRDefault="00A5209E">
            <w:pPr>
              <w:tabs>
                <w:tab w:val="left" w:pos="39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etaloniniai (kalibraciniai) uždarieji šaltiniai</w:t>
            </w:r>
            <w:r>
              <w:rPr>
                <w:szCs w:val="24"/>
                <w:vertAlign w:val="superscript"/>
              </w:rPr>
              <w:t>(1)</w:t>
            </w:r>
          </w:p>
        </w:tc>
        <w:tc>
          <w:tcPr>
            <w:tcW w:w="1878" w:type="dxa"/>
            <w:vAlign w:val="center"/>
          </w:tcPr>
          <w:p w14:paraId="1927924B" w14:textId="77777777" w:rsidR="00170BB2" w:rsidRDefault="00A5209E">
            <w:pPr>
              <w:tabs>
                <w:tab w:val="left" w:pos="3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0,01&gt;A/D</w:t>
            </w:r>
            <w:r>
              <w:rPr>
                <w:szCs w:val="24"/>
              </w:rPr>
              <w:sym w:font="Symbol" w:char="F0B3"/>
            </w:r>
            <w:r>
              <w:rPr>
                <w:szCs w:val="24"/>
              </w:rPr>
              <w:t>ne-reguliuojamojo veikmens lygis/D</w:t>
            </w:r>
          </w:p>
        </w:tc>
      </w:tr>
    </w:tbl>
    <w:p w14:paraId="1927924D" w14:textId="77777777" w:rsidR="00170BB2" w:rsidRDefault="00A5209E">
      <w:pPr>
        <w:tabs>
          <w:tab w:val="left" w:pos="397"/>
        </w:tabs>
        <w:ind w:right="-1" w:firstLine="720"/>
        <w:jc w:val="both"/>
        <w:rPr>
          <w:szCs w:val="24"/>
        </w:rPr>
      </w:pPr>
      <w:r>
        <w:rPr>
          <w:szCs w:val="24"/>
          <w:vertAlign w:val="superscript"/>
        </w:rPr>
        <w:t>(1)</w:t>
      </w:r>
      <w:r>
        <w:rPr>
          <w:szCs w:val="24"/>
        </w:rPr>
        <w:t xml:space="preserve"> Etaloniniai (kalibraciniai) uždarieji šaltiniai gali būti priskirti bet</w:t>
      </w:r>
      <w:r>
        <w:rPr>
          <w:szCs w:val="24"/>
        </w:rPr>
        <w:t xml:space="preserve"> kuriai uždarųjų šaltinių pavojingumo kategorijai atsižvelgiant į radionuklidą, jo A ir konkretaus etaloninio (kalibracinio) uždarojo šaltinio naudojimo sritį.</w:t>
      </w:r>
    </w:p>
    <w:p w14:paraId="1927924E" w14:textId="77777777" w:rsidR="00170BB2" w:rsidRDefault="00A5209E">
      <w:pPr>
        <w:tabs>
          <w:tab w:val="left" w:pos="397"/>
        </w:tabs>
        <w:ind w:right="-1" w:firstLine="720"/>
        <w:jc w:val="both"/>
        <w:rPr>
          <w:szCs w:val="24"/>
        </w:rPr>
      </w:pPr>
    </w:p>
    <w:p w14:paraId="1927924F" w14:textId="77777777" w:rsidR="00170BB2" w:rsidRDefault="00A5209E">
      <w:pPr>
        <w:tabs>
          <w:tab w:val="left" w:pos="397"/>
        </w:tabs>
        <w:ind w:right="-1"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Tai pačiai uždarųjų šaltinių pavojingumo kategorijai priskiriami skirtingose veiklos sri</w:t>
      </w:r>
      <w:r>
        <w:rPr>
          <w:szCs w:val="24"/>
        </w:rPr>
        <w:t>tyse naudojami uždarieji šaltiniai, kuriems taikomos vienodos teisės aktuose, reglamentuojančiuose radiacinę saugą ir uždarųjų šaltinių fizinę saugą, nustatytos radiacinę saugą ir uždarųjų šaltinių fizinę saugą užtikrinančios priemonės.</w:t>
      </w:r>
    </w:p>
    <w:p w14:paraId="19279250" w14:textId="77777777" w:rsidR="00170BB2" w:rsidRDefault="00A5209E">
      <w:pPr>
        <w:tabs>
          <w:tab w:val="left" w:pos="397"/>
        </w:tabs>
        <w:ind w:right="-1"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I–</w:t>
      </w:r>
      <w:smartTag w:uri="urn:schemas-microsoft-com:office:smarttags" w:element="stockticker">
        <w:r>
          <w:rPr>
            <w:szCs w:val="24"/>
          </w:rPr>
          <w:t>III</w:t>
        </w:r>
      </w:smartTag>
      <w:r>
        <w:rPr>
          <w:szCs w:val="24"/>
        </w:rPr>
        <w:t xml:space="preserve"> uždarųjų šaltinių pavojingumo kategorijos uždarieji šaltiniai yra laikomi didelio aktyvumo uždaraisiais šaltiniais, kuriems turi būti taikomos papildomos radiacinės saugos ir uždarųjų šaltinių fizinės saugos priemonės, nurodytos Lietuvos Respublikos sveik</w:t>
      </w:r>
      <w:r>
        <w:rPr>
          <w:szCs w:val="24"/>
        </w:rPr>
        <w:t>atos apsaugos ministro 2005 m. gruodžio 23 d. įsakyme Nr. V-1020 „Dėl Didelio aktyvumo uždarųjų jonizuojančiosios spinduliuotės šaltinių ir paliktųjų jonizuojančiosios spinduliuotės šaltinių kontrolės taisyklių patvirtinimo“ ir Lietuvos Respublikos sveikat</w:t>
      </w:r>
      <w:r>
        <w:rPr>
          <w:szCs w:val="24"/>
        </w:rPr>
        <w:t xml:space="preserve">os apsaugos ministro 2005 m. rugsėjo 7 d. įsakyme Nr. V-687 „Dėl Jonizuojančiosios spinduliuotės šaltinių fizinės saugos taisyklių patvirtinimo“. </w:t>
      </w:r>
    </w:p>
    <w:p w14:paraId="19279251" w14:textId="77777777" w:rsidR="00170BB2" w:rsidRDefault="00A5209E">
      <w:pPr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Jei uždarasis šaltinis nėra nurodytas Aprašo 1 lentelėje, uždarųjų šaltinių pavojingumo kategorija yra</w:t>
      </w:r>
      <w:r>
        <w:rPr>
          <w:szCs w:val="24"/>
        </w:rPr>
        <w:t xml:space="preserve"> nustatoma pagal A ir D santykį (tam tikrų radionuklidų D nurodyta Aprašo 2 lentelėje):</w:t>
      </w:r>
    </w:p>
    <w:p w14:paraId="19279252" w14:textId="77777777" w:rsidR="00170BB2" w:rsidRDefault="00A5209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</w:t>
      </w:r>
      <w:r>
        <w:rPr>
          <w:szCs w:val="24"/>
          <w:lang w:eastAsia="lt-LT"/>
        </w:rPr>
        <w:t>. jei A/D</w:t>
      </w:r>
      <w:r>
        <w:rPr>
          <w:szCs w:val="24"/>
          <w:lang w:eastAsia="lt-LT"/>
        </w:rPr>
        <w:sym w:font="Symbol" w:char="F0B3"/>
      </w:r>
      <w:r>
        <w:rPr>
          <w:szCs w:val="24"/>
          <w:lang w:eastAsia="lt-LT"/>
        </w:rPr>
        <w:t>1000, uždarasis šaltinis priskiriamas I uždarųjų šaltinių pavojingumo kategorijai;</w:t>
      </w:r>
    </w:p>
    <w:p w14:paraId="19279253" w14:textId="77777777" w:rsidR="00170BB2" w:rsidRDefault="00A5209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</w:t>
      </w:r>
      <w:r>
        <w:rPr>
          <w:szCs w:val="24"/>
          <w:lang w:eastAsia="lt-LT"/>
        </w:rPr>
        <w:t>. jei 1000&gt;A/D</w:t>
      </w:r>
      <w:r>
        <w:rPr>
          <w:szCs w:val="24"/>
          <w:lang w:eastAsia="lt-LT"/>
        </w:rPr>
        <w:sym w:font="Symbol" w:char="F0B3"/>
      </w:r>
      <w:r>
        <w:rPr>
          <w:szCs w:val="24"/>
          <w:lang w:eastAsia="lt-LT"/>
        </w:rPr>
        <w:t xml:space="preserve">10, uždarasis šaltinis priskiriamas II uždarųjų </w:t>
      </w:r>
      <w:r>
        <w:rPr>
          <w:szCs w:val="24"/>
          <w:lang w:eastAsia="lt-LT"/>
        </w:rPr>
        <w:t>šaltinių pavojingumo kategorijai;</w:t>
      </w:r>
    </w:p>
    <w:p w14:paraId="19279254" w14:textId="77777777" w:rsidR="00170BB2" w:rsidRDefault="00A5209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7.3</w:t>
      </w:r>
      <w:r>
        <w:rPr>
          <w:szCs w:val="24"/>
          <w:lang w:eastAsia="lt-LT"/>
        </w:rPr>
        <w:t>. jei 10&gt;A/D</w:t>
      </w:r>
      <w:r>
        <w:rPr>
          <w:szCs w:val="24"/>
          <w:lang w:eastAsia="lt-LT"/>
        </w:rPr>
        <w:sym w:font="Symbol" w:char="F0B3"/>
      </w:r>
      <w:r>
        <w:rPr>
          <w:szCs w:val="24"/>
          <w:lang w:eastAsia="lt-LT"/>
        </w:rPr>
        <w:t xml:space="preserve">1, uždarasis šaltinis priskiriamas </w:t>
      </w:r>
      <w:smartTag w:uri="urn:schemas-microsoft-com:office:smarttags" w:element="stockticker">
        <w:r>
          <w:rPr>
            <w:szCs w:val="24"/>
            <w:lang w:eastAsia="lt-LT"/>
          </w:rPr>
          <w:t>III</w:t>
        </w:r>
      </w:smartTag>
      <w:r>
        <w:rPr>
          <w:szCs w:val="24"/>
          <w:lang w:eastAsia="lt-LT"/>
        </w:rPr>
        <w:t xml:space="preserve"> uždarųjų šaltinių pavojingumo kategorijai;</w:t>
      </w:r>
    </w:p>
    <w:p w14:paraId="19279255" w14:textId="77777777" w:rsidR="00170BB2" w:rsidRDefault="00A5209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7.4</w:t>
      </w:r>
      <w:r>
        <w:rPr>
          <w:szCs w:val="24"/>
          <w:lang w:eastAsia="lt-LT"/>
        </w:rPr>
        <w:t>. jei 1&gt;A/D</w:t>
      </w:r>
      <w:r>
        <w:rPr>
          <w:szCs w:val="24"/>
          <w:lang w:eastAsia="lt-LT"/>
        </w:rPr>
        <w:sym w:font="Symbol" w:char="F0B3"/>
      </w:r>
      <w:r>
        <w:rPr>
          <w:szCs w:val="24"/>
          <w:lang w:eastAsia="lt-LT"/>
        </w:rPr>
        <w:t>0,01, uždarasis šaltinis priskiriamas IV uždarųjų šaltinių pavojingumo kategorijai;</w:t>
      </w:r>
    </w:p>
    <w:p w14:paraId="19279256" w14:textId="77777777" w:rsidR="00170BB2" w:rsidRDefault="00A5209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7.5</w:t>
      </w:r>
      <w:r>
        <w:rPr>
          <w:szCs w:val="24"/>
          <w:lang w:eastAsia="lt-LT"/>
        </w:rPr>
        <w:t>. jei 0,01</w:t>
      </w:r>
      <w:r>
        <w:rPr>
          <w:szCs w:val="24"/>
          <w:lang w:eastAsia="lt-LT"/>
        </w:rPr>
        <w:t>&gt;A/D</w:t>
      </w:r>
      <w:r>
        <w:rPr>
          <w:szCs w:val="24"/>
          <w:lang w:eastAsia="lt-LT"/>
        </w:rPr>
        <w:sym w:font="Symbol" w:char="F0B3"/>
      </w:r>
      <w:r>
        <w:rPr>
          <w:szCs w:val="24"/>
          <w:lang w:eastAsia="lt-LT"/>
        </w:rPr>
        <w:t>nereguliuojamojo veikmens lygis/D, uždarasis šaltinis priskiriamas V uždarųjų šaltinių pavojingumo kategorijai.</w:t>
      </w:r>
    </w:p>
    <w:p w14:paraId="19279257" w14:textId="77777777" w:rsidR="00170BB2" w:rsidRDefault="00170BB2">
      <w:pPr>
        <w:jc w:val="both"/>
        <w:rPr>
          <w:szCs w:val="24"/>
        </w:rPr>
      </w:pPr>
    </w:p>
    <w:p w14:paraId="19279258" w14:textId="77777777" w:rsidR="00170BB2" w:rsidRDefault="00A5209E">
      <w:pPr>
        <w:ind w:left="720"/>
        <w:jc w:val="both"/>
        <w:rPr>
          <w:szCs w:val="24"/>
        </w:rPr>
      </w:pPr>
      <w:r>
        <w:rPr>
          <w:szCs w:val="24"/>
        </w:rPr>
        <w:t>2 lentelė. Tam tikrų radionuklidų 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42"/>
        <w:gridCol w:w="2520"/>
        <w:gridCol w:w="2520"/>
      </w:tblGrid>
      <w:tr w:rsidR="00170BB2" w14:paraId="1927925D" w14:textId="77777777">
        <w:trPr>
          <w:cantSplit/>
          <w:trHeight w:val="550"/>
        </w:trPr>
        <w:tc>
          <w:tcPr>
            <w:tcW w:w="2358" w:type="dxa"/>
            <w:vAlign w:val="center"/>
          </w:tcPr>
          <w:p w14:paraId="19279259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Radionuklidas</w:t>
            </w:r>
          </w:p>
        </w:tc>
        <w:tc>
          <w:tcPr>
            <w:tcW w:w="2142" w:type="dxa"/>
            <w:vAlign w:val="center"/>
          </w:tcPr>
          <w:p w14:paraId="1927925A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D, TBq</w:t>
            </w:r>
          </w:p>
        </w:tc>
        <w:tc>
          <w:tcPr>
            <w:tcW w:w="2520" w:type="dxa"/>
            <w:vAlign w:val="center"/>
          </w:tcPr>
          <w:p w14:paraId="1927925B" w14:textId="77777777" w:rsidR="00170BB2" w:rsidRDefault="00A5209E">
            <w:pPr>
              <w:keepNext/>
              <w:jc w:val="center"/>
              <w:outlineLvl w:val="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Radionuklidas</w:t>
            </w:r>
          </w:p>
        </w:tc>
        <w:tc>
          <w:tcPr>
            <w:tcW w:w="2520" w:type="dxa"/>
            <w:vAlign w:val="center"/>
          </w:tcPr>
          <w:p w14:paraId="1927925C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D, TBq</w:t>
            </w:r>
          </w:p>
        </w:tc>
      </w:tr>
      <w:tr w:rsidR="00170BB2" w14:paraId="19279262" w14:textId="77777777">
        <w:tc>
          <w:tcPr>
            <w:tcW w:w="2358" w:type="dxa"/>
          </w:tcPr>
          <w:p w14:paraId="1927925E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H</w:t>
            </w:r>
          </w:p>
        </w:tc>
        <w:tc>
          <w:tcPr>
            <w:tcW w:w="2142" w:type="dxa"/>
          </w:tcPr>
          <w:p w14:paraId="1927925F" w14:textId="77777777" w:rsidR="00170BB2" w:rsidRDefault="00A5209E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2×10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520" w:type="dxa"/>
          </w:tcPr>
          <w:p w14:paraId="19279260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147</w:t>
            </w:r>
            <w:r>
              <w:rPr>
                <w:szCs w:val="24"/>
              </w:rPr>
              <w:t>Pm</w:t>
            </w:r>
          </w:p>
        </w:tc>
        <w:tc>
          <w:tcPr>
            <w:tcW w:w="2520" w:type="dxa"/>
          </w:tcPr>
          <w:p w14:paraId="19279261" w14:textId="77777777" w:rsidR="00170BB2" w:rsidRDefault="00A5209E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40</w:t>
            </w:r>
          </w:p>
        </w:tc>
      </w:tr>
      <w:tr w:rsidR="00170BB2" w14:paraId="19279267" w14:textId="77777777">
        <w:tc>
          <w:tcPr>
            <w:tcW w:w="2358" w:type="dxa"/>
          </w:tcPr>
          <w:p w14:paraId="19279263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32</w:t>
            </w:r>
            <w:r>
              <w:rPr>
                <w:szCs w:val="24"/>
              </w:rPr>
              <w:t>P</w:t>
            </w:r>
          </w:p>
        </w:tc>
        <w:tc>
          <w:tcPr>
            <w:tcW w:w="2142" w:type="dxa"/>
          </w:tcPr>
          <w:p w14:paraId="19279264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20" w:type="dxa"/>
          </w:tcPr>
          <w:p w14:paraId="19279265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153</w:t>
            </w:r>
            <w:r>
              <w:rPr>
                <w:szCs w:val="24"/>
              </w:rPr>
              <w:t>Gd</w:t>
            </w:r>
          </w:p>
        </w:tc>
        <w:tc>
          <w:tcPr>
            <w:tcW w:w="2520" w:type="dxa"/>
          </w:tcPr>
          <w:p w14:paraId="19279266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70BB2" w14:paraId="1927926C" w14:textId="77777777">
        <w:tc>
          <w:tcPr>
            <w:tcW w:w="2358" w:type="dxa"/>
          </w:tcPr>
          <w:p w14:paraId="19279268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lastRenderedPageBreak/>
              <w:t>55</w:t>
            </w:r>
            <w:r>
              <w:rPr>
                <w:szCs w:val="24"/>
              </w:rPr>
              <w:t>Fe</w:t>
            </w:r>
          </w:p>
        </w:tc>
        <w:tc>
          <w:tcPr>
            <w:tcW w:w="2142" w:type="dxa"/>
          </w:tcPr>
          <w:p w14:paraId="19279269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2520" w:type="dxa"/>
          </w:tcPr>
          <w:p w14:paraId="1927926A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170</w:t>
            </w:r>
            <w:r>
              <w:rPr>
                <w:szCs w:val="24"/>
              </w:rPr>
              <w:t>Tm</w:t>
            </w:r>
          </w:p>
        </w:tc>
        <w:tc>
          <w:tcPr>
            <w:tcW w:w="2520" w:type="dxa"/>
          </w:tcPr>
          <w:p w14:paraId="1927926B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70BB2" w14:paraId="19279271" w14:textId="77777777">
        <w:tc>
          <w:tcPr>
            <w:tcW w:w="2358" w:type="dxa"/>
          </w:tcPr>
          <w:p w14:paraId="1927926D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57</w:t>
            </w:r>
            <w:r>
              <w:rPr>
                <w:szCs w:val="24"/>
              </w:rPr>
              <w:t>Co</w:t>
            </w:r>
          </w:p>
        </w:tc>
        <w:tc>
          <w:tcPr>
            <w:tcW w:w="2142" w:type="dxa"/>
          </w:tcPr>
          <w:p w14:paraId="1927926E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2520" w:type="dxa"/>
          </w:tcPr>
          <w:p w14:paraId="1927926F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169</w:t>
            </w:r>
            <w:r>
              <w:rPr>
                <w:szCs w:val="24"/>
              </w:rPr>
              <w:t>Yb</w:t>
            </w:r>
          </w:p>
        </w:tc>
        <w:tc>
          <w:tcPr>
            <w:tcW w:w="2520" w:type="dxa"/>
          </w:tcPr>
          <w:p w14:paraId="19279270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170BB2" w14:paraId="19279276" w14:textId="77777777">
        <w:tc>
          <w:tcPr>
            <w:tcW w:w="2358" w:type="dxa"/>
          </w:tcPr>
          <w:p w14:paraId="19279272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60</w:t>
            </w:r>
            <w:r>
              <w:rPr>
                <w:szCs w:val="24"/>
              </w:rPr>
              <w:t>Co</w:t>
            </w:r>
          </w:p>
        </w:tc>
        <w:tc>
          <w:tcPr>
            <w:tcW w:w="2142" w:type="dxa"/>
          </w:tcPr>
          <w:p w14:paraId="19279273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20" w:type="dxa"/>
          </w:tcPr>
          <w:p w14:paraId="19279274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192</w:t>
            </w:r>
            <w:r>
              <w:rPr>
                <w:szCs w:val="24"/>
              </w:rPr>
              <w:t>Ir</w:t>
            </w:r>
          </w:p>
        </w:tc>
        <w:tc>
          <w:tcPr>
            <w:tcW w:w="2520" w:type="dxa"/>
          </w:tcPr>
          <w:p w14:paraId="19279275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</w:tr>
      <w:tr w:rsidR="00170BB2" w14:paraId="1927927B" w14:textId="77777777">
        <w:tc>
          <w:tcPr>
            <w:tcW w:w="2358" w:type="dxa"/>
          </w:tcPr>
          <w:p w14:paraId="19279277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63</w:t>
            </w:r>
            <w:r>
              <w:rPr>
                <w:szCs w:val="24"/>
              </w:rPr>
              <w:t>Ni</w:t>
            </w:r>
          </w:p>
        </w:tc>
        <w:tc>
          <w:tcPr>
            <w:tcW w:w="2142" w:type="dxa"/>
          </w:tcPr>
          <w:p w14:paraId="19279278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520" w:type="dxa"/>
          </w:tcPr>
          <w:p w14:paraId="19279279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198</w:t>
            </w:r>
            <w:r>
              <w:rPr>
                <w:szCs w:val="24"/>
              </w:rPr>
              <w:t>Au</w:t>
            </w:r>
          </w:p>
        </w:tc>
        <w:tc>
          <w:tcPr>
            <w:tcW w:w="2520" w:type="dxa"/>
          </w:tcPr>
          <w:p w14:paraId="1927927A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170BB2" w14:paraId="19279280" w14:textId="77777777">
        <w:tc>
          <w:tcPr>
            <w:tcW w:w="2358" w:type="dxa"/>
          </w:tcPr>
          <w:p w14:paraId="1927927C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68</w:t>
            </w:r>
            <w:r>
              <w:rPr>
                <w:szCs w:val="24"/>
              </w:rPr>
              <w:t>Ge</w:t>
            </w:r>
          </w:p>
        </w:tc>
        <w:tc>
          <w:tcPr>
            <w:tcW w:w="2142" w:type="dxa"/>
          </w:tcPr>
          <w:p w14:paraId="1927927D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  <w:tc>
          <w:tcPr>
            <w:tcW w:w="2520" w:type="dxa"/>
          </w:tcPr>
          <w:p w14:paraId="1927927E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204</w:t>
            </w:r>
            <w:r>
              <w:rPr>
                <w:szCs w:val="24"/>
              </w:rPr>
              <w:t>Tl</w:t>
            </w:r>
          </w:p>
        </w:tc>
        <w:tc>
          <w:tcPr>
            <w:tcW w:w="2520" w:type="dxa"/>
          </w:tcPr>
          <w:p w14:paraId="1927927F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70BB2" w14:paraId="19279285" w14:textId="77777777">
        <w:tc>
          <w:tcPr>
            <w:tcW w:w="2358" w:type="dxa"/>
          </w:tcPr>
          <w:p w14:paraId="19279281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75</w:t>
            </w:r>
            <w:r>
              <w:rPr>
                <w:szCs w:val="24"/>
              </w:rPr>
              <w:t>Se</w:t>
            </w:r>
          </w:p>
        </w:tc>
        <w:tc>
          <w:tcPr>
            <w:tcW w:w="2142" w:type="dxa"/>
          </w:tcPr>
          <w:p w14:paraId="19279282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2520" w:type="dxa"/>
          </w:tcPr>
          <w:p w14:paraId="19279283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210</w:t>
            </w:r>
            <w:r>
              <w:rPr>
                <w:szCs w:val="24"/>
              </w:rPr>
              <w:t>Po</w:t>
            </w:r>
          </w:p>
        </w:tc>
        <w:tc>
          <w:tcPr>
            <w:tcW w:w="2520" w:type="dxa"/>
          </w:tcPr>
          <w:p w14:paraId="19279284" w14:textId="77777777" w:rsidR="00170BB2" w:rsidRDefault="00A5209E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0,06</w:t>
            </w:r>
          </w:p>
        </w:tc>
      </w:tr>
      <w:tr w:rsidR="00170BB2" w14:paraId="1927928A" w14:textId="77777777">
        <w:tc>
          <w:tcPr>
            <w:tcW w:w="2358" w:type="dxa"/>
          </w:tcPr>
          <w:p w14:paraId="19279286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85</w:t>
            </w:r>
            <w:r>
              <w:rPr>
                <w:szCs w:val="24"/>
              </w:rPr>
              <w:t>Kr</w:t>
            </w:r>
          </w:p>
        </w:tc>
        <w:tc>
          <w:tcPr>
            <w:tcW w:w="2142" w:type="dxa"/>
          </w:tcPr>
          <w:p w14:paraId="19279287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520" w:type="dxa"/>
          </w:tcPr>
          <w:p w14:paraId="19279288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226</w:t>
            </w:r>
            <w:r>
              <w:rPr>
                <w:szCs w:val="24"/>
              </w:rPr>
              <w:t>Ra</w:t>
            </w:r>
          </w:p>
        </w:tc>
        <w:tc>
          <w:tcPr>
            <w:tcW w:w="2520" w:type="dxa"/>
          </w:tcPr>
          <w:p w14:paraId="19279289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</w:tr>
      <w:tr w:rsidR="00170BB2" w14:paraId="1927928F" w14:textId="77777777">
        <w:tc>
          <w:tcPr>
            <w:tcW w:w="2358" w:type="dxa"/>
          </w:tcPr>
          <w:p w14:paraId="1927928B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90</w:t>
            </w:r>
            <w:r>
              <w:rPr>
                <w:szCs w:val="24"/>
              </w:rPr>
              <w:t>Sr (</w:t>
            </w:r>
            <w:r>
              <w:rPr>
                <w:szCs w:val="24"/>
                <w:vertAlign w:val="superscript"/>
              </w:rPr>
              <w:t>90</w:t>
            </w:r>
            <w:r>
              <w:rPr>
                <w:szCs w:val="24"/>
              </w:rPr>
              <w:t>Y)</w:t>
            </w:r>
          </w:p>
        </w:tc>
        <w:tc>
          <w:tcPr>
            <w:tcW w:w="2142" w:type="dxa"/>
          </w:tcPr>
          <w:p w14:paraId="1927928C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0" w:type="dxa"/>
          </w:tcPr>
          <w:p w14:paraId="1927928D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238</w:t>
            </w:r>
            <w:r>
              <w:rPr>
                <w:szCs w:val="24"/>
              </w:rPr>
              <w:t>Pu</w:t>
            </w:r>
          </w:p>
        </w:tc>
        <w:tc>
          <w:tcPr>
            <w:tcW w:w="2520" w:type="dxa"/>
          </w:tcPr>
          <w:p w14:paraId="1927928E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</w:tr>
      <w:tr w:rsidR="00170BB2" w14:paraId="19279294" w14:textId="77777777">
        <w:tc>
          <w:tcPr>
            <w:tcW w:w="2358" w:type="dxa"/>
          </w:tcPr>
          <w:p w14:paraId="19279290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99</w:t>
            </w:r>
            <w:r>
              <w:rPr>
                <w:szCs w:val="24"/>
              </w:rPr>
              <w:t xml:space="preserve">Mo </w:t>
            </w:r>
          </w:p>
        </w:tc>
        <w:tc>
          <w:tcPr>
            <w:tcW w:w="2142" w:type="dxa"/>
          </w:tcPr>
          <w:p w14:paraId="19279291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2520" w:type="dxa"/>
          </w:tcPr>
          <w:p w14:paraId="19279292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239</w:t>
            </w:r>
            <w:r>
              <w:rPr>
                <w:szCs w:val="24"/>
              </w:rPr>
              <w:t>Pu</w:t>
            </w:r>
          </w:p>
        </w:tc>
        <w:tc>
          <w:tcPr>
            <w:tcW w:w="2520" w:type="dxa"/>
          </w:tcPr>
          <w:p w14:paraId="19279293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</w:tr>
      <w:tr w:rsidR="00170BB2" w14:paraId="19279299" w14:textId="77777777">
        <w:tc>
          <w:tcPr>
            <w:tcW w:w="2358" w:type="dxa"/>
          </w:tcPr>
          <w:p w14:paraId="19279295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99m</w:t>
            </w:r>
            <w:r>
              <w:rPr>
                <w:szCs w:val="24"/>
              </w:rPr>
              <w:t>Tc</w:t>
            </w:r>
          </w:p>
        </w:tc>
        <w:tc>
          <w:tcPr>
            <w:tcW w:w="2142" w:type="dxa"/>
          </w:tcPr>
          <w:p w14:paraId="19279296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2520" w:type="dxa"/>
          </w:tcPr>
          <w:p w14:paraId="19279297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239</w:t>
            </w:r>
            <w:r>
              <w:rPr>
                <w:szCs w:val="24"/>
              </w:rPr>
              <w:t>Pu/Be</w:t>
            </w:r>
          </w:p>
        </w:tc>
        <w:tc>
          <w:tcPr>
            <w:tcW w:w="2520" w:type="dxa"/>
          </w:tcPr>
          <w:p w14:paraId="19279298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</w:tr>
      <w:tr w:rsidR="00170BB2" w14:paraId="1927929E" w14:textId="77777777">
        <w:tc>
          <w:tcPr>
            <w:tcW w:w="2358" w:type="dxa"/>
          </w:tcPr>
          <w:p w14:paraId="1927929A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106</w:t>
            </w:r>
            <w:r>
              <w:rPr>
                <w:szCs w:val="24"/>
              </w:rPr>
              <w:t>Ru (</w:t>
            </w:r>
            <w:r>
              <w:rPr>
                <w:szCs w:val="24"/>
                <w:vertAlign w:val="superscript"/>
              </w:rPr>
              <w:t>106</w:t>
            </w:r>
            <w:r>
              <w:rPr>
                <w:szCs w:val="24"/>
              </w:rPr>
              <w:t>Rh)</w:t>
            </w:r>
          </w:p>
        </w:tc>
        <w:tc>
          <w:tcPr>
            <w:tcW w:w="2142" w:type="dxa"/>
          </w:tcPr>
          <w:p w14:paraId="1927929B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2520" w:type="dxa"/>
          </w:tcPr>
          <w:p w14:paraId="1927929C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241</w:t>
            </w:r>
            <w:r>
              <w:rPr>
                <w:szCs w:val="24"/>
              </w:rPr>
              <w:t>Am</w:t>
            </w:r>
          </w:p>
        </w:tc>
        <w:tc>
          <w:tcPr>
            <w:tcW w:w="2520" w:type="dxa"/>
          </w:tcPr>
          <w:p w14:paraId="1927929D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</w:tr>
      <w:tr w:rsidR="00170BB2" w14:paraId="192792A3" w14:textId="77777777">
        <w:tc>
          <w:tcPr>
            <w:tcW w:w="2358" w:type="dxa"/>
          </w:tcPr>
          <w:p w14:paraId="1927929F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109</w:t>
            </w:r>
            <w:r>
              <w:rPr>
                <w:szCs w:val="24"/>
              </w:rPr>
              <w:t>Cd</w:t>
            </w:r>
          </w:p>
        </w:tc>
        <w:tc>
          <w:tcPr>
            <w:tcW w:w="2142" w:type="dxa"/>
          </w:tcPr>
          <w:p w14:paraId="192792A0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20" w:type="dxa"/>
          </w:tcPr>
          <w:p w14:paraId="192792A1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241</w:t>
            </w:r>
            <w:r>
              <w:rPr>
                <w:szCs w:val="24"/>
              </w:rPr>
              <w:t>Am/Be</w:t>
            </w:r>
          </w:p>
        </w:tc>
        <w:tc>
          <w:tcPr>
            <w:tcW w:w="2520" w:type="dxa"/>
          </w:tcPr>
          <w:p w14:paraId="192792A2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</w:tr>
      <w:tr w:rsidR="00170BB2" w14:paraId="192792A8" w14:textId="77777777">
        <w:tc>
          <w:tcPr>
            <w:tcW w:w="2358" w:type="dxa"/>
          </w:tcPr>
          <w:p w14:paraId="192792A4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125</w:t>
            </w:r>
            <w:r>
              <w:rPr>
                <w:szCs w:val="24"/>
              </w:rPr>
              <w:t>I</w:t>
            </w:r>
          </w:p>
        </w:tc>
        <w:tc>
          <w:tcPr>
            <w:tcW w:w="2142" w:type="dxa"/>
          </w:tcPr>
          <w:p w14:paraId="192792A5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2520" w:type="dxa"/>
          </w:tcPr>
          <w:p w14:paraId="192792A6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242</w:t>
            </w:r>
            <w:r>
              <w:rPr>
                <w:szCs w:val="24"/>
              </w:rPr>
              <w:t>Cm</w:t>
            </w:r>
          </w:p>
        </w:tc>
        <w:tc>
          <w:tcPr>
            <w:tcW w:w="2520" w:type="dxa"/>
          </w:tcPr>
          <w:p w14:paraId="192792A7" w14:textId="77777777" w:rsidR="00170BB2" w:rsidRDefault="00A5209E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0,05</w:t>
            </w:r>
          </w:p>
        </w:tc>
      </w:tr>
      <w:tr w:rsidR="00170BB2" w14:paraId="192792AD" w14:textId="77777777">
        <w:tc>
          <w:tcPr>
            <w:tcW w:w="2358" w:type="dxa"/>
          </w:tcPr>
          <w:p w14:paraId="192792A9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131</w:t>
            </w:r>
            <w:r>
              <w:rPr>
                <w:szCs w:val="24"/>
              </w:rPr>
              <w:t>I</w:t>
            </w:r>
          </w:p>
        </w:tc>
        <w:tc>
          <w:tcPr>
            <w:tcW w:w="2142" w:type="dxa"/>
          </w:tcPr>
          <w:p w14:paraId="192792AA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2520" w:type="dxa"/>
          </w:tcPr>
          <w:p w14:paraId="192792AB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244</w:t>
            </w:r>
            <w:r>
              <w:rPr>
                <w:szCs w:val="24"/>
              </w:rPr>
              <w:t>Cm</w:t>
            </w:r>
          </w:p>
        </w:tc>
        <w:tc>
          <w:tcPr>
            <w:tcW w:w="2520" w:type="dxa"/>
          </w:tcPr>
          <w:p w14:paraId="192792AC" w14:textId="77777777" w:rsidR="00170BB2" w:rsidRDefault="00A5209E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0,05</w:t>
            </w:r>
          </w:p>
        </w:tc>
      </w:tr>
      <w:tr w:rsidR="00170BB2" w14:paraId="192792B2" w14:textId="77777777">
        <w:tc>
          <w:tcPr>
            <w:tcW w:w="2358" w:type="dxa"/>
          </w:tcPr>
          <w:p w14:paraId="192792AE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137</w:t>
            </w:r>
            <w:r>
              <w:rPr>
                <w:szCs w:val="24"/>
              </w:rPr>
              <w:t xml:space="preserve">Cs </w:t>
            </w:r>
          </w:p>
        </w:tc>
        <w:tc>
          <w:tcPr>
            <w:tcW w:w="2142" w:type="dxa"/>
          </w:tcPr>
          <w:p w14:paraId="192792AF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2520" w:type="dxa"/>
          </w:tcPr>
          <w:p w14:paraId="192792B0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252</w:t>
            </w:r>
            <w:r>
              <w:rPr>
                <w:szCs w:val="24"/>
              </w:rPr>
              <w:t>Cf</w:t>
            </w:r>
          </w:p>
        </w:tc>
        <w:tc>
          <w:tcPr>
            <w:tcW w:w="2520" w:type="dxa"/>
          </w:tcPr>
          <w:p w14:paraId="192792B1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</w:t>
            </w:r>
          </w:p>
        </w:tc>
      </w:tr>
      <w:tr w:rsidR="00170BB2" w14:paraId="192792B7" w14:textId="77777777">
        <w:tc>
          <w:tcPr>
            <w:tcW w:w="2358" w:type="dxa"/>
          </w:tcPr>
          <w:p w14:paraId="192792B3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133</w:t>
            </w:r>
            <w:r>
              <w:rPr>
                <w:szCs w:val="24"/>
              </w:rPr>
              <w:t>Ba</w:t>
            </w:r>
          </w:p>
        </w:tc>
        <w:tc>
          <w:tcPr>
            <w:tcW w:w="2142" w:type="dxa"/>
          </w:tcPr>
          <w:p w14:paraId="192792B4" w14:textId="77777777" w:rsidR="00170BB2" w:rsidRDefault="00A52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2520" w:type="dxa"/>
          </w:tcPr>
          <w:p w14:paraId="192792B5" w14:textId="77777777" w:rsidR="00170BB2" w:rsidRDefault="00170BB2">
            <w:pPr>
              <w:jc w:val="center"/>
              <w:rPr>
                <w:szCs w:val="24"/>
              </w:rPr>
            </w:pPr>
          </w:p>
        </w:tc>
        <w:tc>
          <w:tcPr>
            <w:tcW w:w="2520" w:type="dxa"/>
          </w:tcPr>
          <w:p w14:paraId="192792B6" w14:textId="77777777" w:rsidR="00170BB2" w:rsidRDefault="00170BB2">
            <w:pPr>
              <w:jc w:val="center"/>
              <w:rPr>
                <w:szCs w:val="24"/>
                <w:vertAlign w:val="superscript"/>
              </w:rPr>
            </w:pPr>
          </w:p>
        </w:tc>
      </w:tr>
    </w:tbl>
    <w:p w14:paraId="192792B8" w14:textId="77777777" w:rsidR="00170BB2" w:rsidRDefault="00A5209E">
      <w:pPr>
        <w:jc w:val="both"/>
        <w:rPr>
          <w:szCs w:val="24"/>
        </w:rPr>
      </w:pPr>
    </w:p>
    <w:p w14:paraId="192792B9" w14:textId="77777777" w:rsidR="00170BB2" w:rsidRDefault="00A5209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Jeigu pagal A ir D santykį uždarasis šaltinis patenka į žemesnę uždarųjų šaltinių pavojingumo kategoriją, tačiau jo A yra lygus nurodytam Aprašo 3 lentelėje arba didesnis, uždarasis šaltinis priskiriamas aukštesnei uždarųjų šaltinių pavojingumo kategorij</w:t>
      </w:r>
      <w:r>
        <w:rPr>
          <w:szCs w:val="24"/>
          <w:lang w:eastAsia="lt-LT"/>
        </w:rPr>
        <w:t xml:space="preserve">ai (pavyzdžiui, uždarasis šaltinis, kuris anksčiau buvo priskirtas IV uždarųjų šaltinių pavojingumo kategorijai, įvertinus uždarojo šaltinio A priskiriamas </w:t>
      </w:r>
      <w:smartTag w:uri="urn:schemas-microsoft-com:office:smarttags" w:element="stockticker">
        <w:r>
          <w:rPr>
            <w:szCs w:val="24"/>
            <w:lang w:eastAsia="lt-LT"/>
          </w:rPr>
          <w:t>III</w:t>
        </w:r>
      </w:smartTag>
      <w:r>
        <w:rPr>
          <w:szCs w:val="24"/>
          <w:lang w:eastAsia="lt-LT"/>
        </w:rPr>
        <w:t xml:space="preserve"> uždarųjų šaltinių pavojingumo kategorijai).</w:t>
      </w:r>
    </w:p>
    <w:p w14:paraId="192792BA" w14:textId="77777777" w:rsidR="00170BB2" w:rsidRDefault="00170BB2">
      <w:pPr>
        <w:ind w:firstLine="720"/>
        <w:jc w:val="both"/>
        <w:rPr>
          <w:szCs w:val="24"/>
        </w:rPr>
      </w:pPr>
    </w:p>
    <w:p w14:paraId="192792BB" w14:textId="77777777" w:rsidR="00170BB2" w:rsidRDefault="00A5209E">
      <w:pPr>
        <w:ind w:firstLine="720"/>
        <w:jc w:val="both"/>
        <w:rPr>
          <w:szCs w:val="24"/>
        </w:rPr>
      </w:pPr>
      <w:r>
        <w:rPr>
          <w:szCs w:val="24"/>
        </w:rPr>
        <w:t>3 lentelė. Radionuklido A, nuo kurio uždarasis šalt</w:t>
      </w:r>
      <w:r>
        <w:rPr>
          <w:szCs w:val="24"/>
        </w:rPr>
        <w:t>inis yra laikomas didelio aktyvumo uždaruoju šaltiniu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170BB2" w14:paraId="192792BE" w14:textId="77777777">
        <w:tc>
          <w:tcPr>
            <w:tcW w:w="4860" w:type="dxa"/>
          </w:tcPr>
          <w:p w14:paraId="192792BC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Radionuklidas</w:t>
            </w:r>
          </w:p>
        </w:tc>
        <w:tc>
          <w:tcPr>
            <w:tcW w:w="4680" w:type="dxa"/>
          </w:tcPr>
          <w:p w14:paraId="192792BD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A, TBq</w:t>
            </w:r>
          </w:p>
        </w:tc>
      </w:tr>
      <w:tr w:rsidR="00170BB2" w14:paraId="192792C1" w14:textId="77777777">
        <w:tc>
          <w:tcPr>
            <w:tcW w:w="4860" w:type="dxa"/>
          </w:tcPr>
          <w:p w14:paraId="192792BF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55</w:t>
            </w:r>
            <w:r>
              <w:rPr>
                <w:rFonts w:ascii="TimesLT" w:hAnsi="TimesLT"/>
                <w:szCs w:val="24"/>
                <w:lang w:val="en-US"/>
              </w:rPr>
              <w:t>Fe</w:t>
            </w:r>
          </w:p>
        </w:tc>
        <w:tc>
          <w:tcPr>
            <w:tcW w:w="4680" w:type="dxa"/>
          </w:tcPr>
          <w:p w14:paraId="192792C0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0,4</w:t>
            </w:r>
          </w:p>
        </w:tc>
      </w:tr>
      <w:tr w:rsidR="00170BB2" w14:paraId="192792C4" w14:textId="77777777">
        <w:tc>
          <w:tcPr>
            <w:tcW w:w="4860" w:type="dxa"/>
          </w:tcPr>
          <w:p w14:paraId="192792C2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60</w:t>
            </w:r>
            <w:r>
              <w:rPr>
                <w:rFonts w:ascii="TimesLT" w:hAnsi="TimesLT"/>
                <w:szCs w:val="24"/>
                <w:lang w:val="en-US"/>
              </w:rPr>
              <w:t>Co</w:t>
            </w:r>
          </w:p>
        </w:tc>
        <w:tc>
          <w:tcPr>
            <w:tcW w:w="4680" w:type="dxa"/>
          </w:tcPr>
          <w:p w14:paraId="192792C3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0,004</w:t>
            </w:r>
          </w:p>
        </w:tc>
      </w:tr>
      <w:tr w:rsidR="00170BB2" w14:paraId="192792C7" w14:textId="77777777">
        <w:tc>
          <w:tcPr>
            <w:tcW w:w="4860" w:type="dxa"/>
          </w:tcPr>
          <w:p w14:paraId="192792C5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75</w:t>
            </w:r>
            <w:r>
              <w:rPr>
                <w:rFonts w:ascii="TimesLT" w:hAnsi="TimesLT"/>
                <w:szCs w:val="24"/>
                <w:lang w:val="en-US"/>
              </w:rPr>
              <w:t>Se</w:t>
            </w:r>
          </w:p>
        </w:tc>
        <w:tc>
          <w:tcPr>
            <w:tcW w:w="4680" w:type="dxa"/>
          </w:tcPr>
          <w:p w14:paraId="192792C6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0,03</w:t>
            </w:r>
          </w:p>
        </w:tc>
      </w:tr>
      <w:tr w:rsidR="00170BB2" w14:paraId="192792CA" w14:textId="77777777">
        <w:tc>
          <w:tcPr>
            <w:tcW w:w="4860" w:type="dxa"/>
          </w:tcPr>
          <w:p w14:paraId="192792C8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85</w:t>
            </w:r>
            <w:r>
              <w:rPr>
                <w:rFonts w:ascii="TimesLT" w:hAnsi="TimesLT"/>
                <w:szCs w:val="24"/>
                <w:lang w:val="en-US"/>
              </w:rPr>
              <w:t>Kr</w:t>
            </w:r>
            <w:r>
              <w:rPr>
                <w:rFonts w:ascii="TimesLT" w:hAnsi="TimesLT"/>
                <w:szCs w:val="24"/>
                <w:vertAlign w:val="superscript"/>
                <w:lang w:val="en-US"/>
              </w:rPr>
              <w:t>(2)</w:t>
            </w:r>
          </w:p>
        </w:tc>
        <w:tc>
          <w:tcPr>
            <w:tcW w:w="4680" w:type="dxa"/>
          </w:tcPr>
          <w:p w14:paraId="192792C9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0,1</w:t>
            </w:r>
          </w:p>
        </w:tc>
      </w:tr>
      <w:tr w:rsidR="00170BB2" w14:paraId="192792CD" w14:textId="77777777">
        <w:tc>
          <w:tcPr>
            <w:tcW w:w="4860" w:type="dxa"/>
          </w:tcPr>
          <w:p w14:paraId="192792CB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90</w:t>
            </w:r>
            <w:r>
              <w:rPr>
                <w:rFonts w:ascii="TimesLT" w:hAnsi="TimesLT"/>
                <w:szCs w:val="24"/>
                <w:lang w:val="en-US"/>
              </w:rPr>
              <w:t>Sr</w:t>
            </w:r>
            <w:r>
              <w:rPr>
                <w:rFonts w:ascii="TimesLT" w:hAnsi="TimesLT"/>
                <w:szCs w:val="24"/>
                <w:vertAlign w:val="superscript"/>
                <w:lang w:val="en-US"/>
              </w:rPr>
              <w:t>(2)</w:t>
            </w:r>
          </w:p>
        </w:tc>
        <w:tc>
          <w:tcPr>
            <w:tcW w:w="4680" w:type="dxa"/>
          </w:tcPr>
          <w:p w14:paraId="192792CC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0,003</w:t>
            </w:r>
          </w:p>
        </w:tc>
      </w:tr>
      <w:tr w:rsidR="00170BB2" w14:paraId="192792D0" w14:textId="77777777">
        <w:tc>
          <w:tcPr>
            <w:tcW w:w="4860" w:type="dxa"/>
          </w:tcPr>
          <w:p w14:paraId="192792CE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103</w:t>
            </w:r>
            <w:r>
              <w:rPr>
                <w:rFonts w:ascii="TimesLT" w:hAnsi="TimesLT"/>
                <w:szCs w:val="24"/>
                <w:lang w:val="en-US"/>
              </w:rPr>
              <w:t>Pd</w:t>
            </w:r>
          </w:p>
        </w:tc>
        <w:tc>
          <w:tcPr>
            <w:tcW w:w="4680" w:type="dxa"/>
          </w:tcPr>
          <w:p w14:paraId="192792CF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0,4</w:t>
            </w:r>
          </w:p>
        </w:tc>
      </w:tr>
      <w:tr w:rsidR="00170BB2" w14:paraId="192792D3" w14:textId="77777777">
        <w:tc>
          <w:tcPr>
            <w:tcW w:w="4860" w:type="dxa"/>
          </w:tcPr>
          <w:p w14:paraId="192792D1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125</w:t>
            </w:r>
            <w:r>
              <w:rPr>
                <w:rFonts w:ascii="TimesLT" w:hAnsi="TimesLT"/>
                <w:szCs w:val="24"/>
                <w:lang w:val="en-US"/>
              </w:rPr>
              <w:t>I</w:t>
            </w:r>
          </w:p>
        </w:tc>
        <w:tc>
          <w:tcPr>
            <w:tcW w:w="4680" w:type="dxa"/>
          </w:tcPr>
          <w:p w14:paraId="192792D2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0,2</w:t>
            </w:r>
          </w:p>
        </w:tc>
      </w:tr>
      <w:tr w:rsidR="00170BB2" w14:paraId="192792D6" w14:textId="77777777">
        <w:tc>
          <w:tcPr>
            <w:tcW w:w="4860" w:type="dxa"/>
          </w:tcPr>
          <w:p w14:paraId="192792D4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137</w:t>
            </w:r>
            <w:r>
              <w:rPr>
                <w:rFonts w:ascii="TimesLT" w:hAnsi="TimesLT"/>
                <w:szCs w:val="24"/>
                <w:lang w:val="en-US"/>
              </w:rPr>
              <w:t>Cs</w:t>
            </w:r>
            <w:r>
              <w:rPr>
                <w:rFonts w:ascii="TimesLT" w:hAnsi="TimesLT"/>
                <w:szCs w:val="24"/>
                <w:vertAlign w:val="superscript"/>
                <w:lang w:val="en-US"/>
              </w:rPr>
              <w:t>(2)</w:t>
            </w:r>
          </w:p>
        </w:tc>
        <w:tc>
          <w:tcPr>
            <w:tcW w:w="4680" w:type="dxa"/>
          </w:tcPr>
          <w:p w14:paraId="192792D5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0,02</w:t>
            </w:r>
          </w:p>
        </w:tc>
      </w:tr>
      <w:tr w:rsidR="00170BB2" w14:paraId="192792D9" w14:textId="77777777">
        <w:tc>
          <w:tcPr>
            <w:tcW w:w="4860" w:type="dxa"/>
          </w:tcPr>
          <w:p w14:paraId="192792D7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147</w:t>
            </w:r>
            <w:r>
              <w:rPr>
                <w:rFonts w:ascii="TimesLT" w:hAnsi="TimesLT"/>
                <w:szCs w:val="24"/>
                <w:lang w:val="en-US"/>
              </w:rPr>
              <w:t>Pm</w:t>
            </w:r>
          </w:p>
        </w:tc>
        <w:tc>
          <w:tcPr>
            <w:tcW w:w="4680" w:type="dxa"/>
          </w:tcPr>
          <w:p w14:paraId="192792D8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0,4</w:t>
            </w:r>
          </w:p>
        </w:tc>
      </w:tr>
      <w:tr w:rsidR="00170BB2" w14:paraId="192792DC" w14:textId="77777777">
        <w:tc>
          <w:tcPr>
            <w:tcW w:w="4860" w:type="dxa"/>
          </w:tcPr>
          <w:p w14:paraId="192792DA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153</w:t>
            </w:r>
            <w:r>
              <w:rPr>
                <w:rFonts w:ascii="TimesLT" w:hAnsi="TimesLT"/>
                <w:szCs w:val="24"/>
                <w:lang w:val="en-US"/>
              </w:rPr>
              <w:t>Gd</w:t>
            </w:r>
          </w:p>
        </w:tc>
        <w:tc>
          <w:tcPr>
            <w:tcW w:w="4680" w:type="dxa"/>
          </w:tcPr>
          <w:p w14:paraId="192792DB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0,1</w:t>
            </w:r>
          </w:p>
        </w:tc>
      </w:tr>
      <w:tr w:rsidR="00170BB2" w14:paraId="192792DF" w14:textId="77777777">
        <w:tc>
          <w:tcPr>
            <w:tcW w:w="4860" w:type="dxa"/>
          </w:tcPr>
          <w:p w14:paraId="192792DD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170</w:t>
            </w:r>
            <w:r>
              <w:rPr>
                <w:rFonts w:ascii="TimesLT" w:hAnsi="TimesLT"/>
                <w:szCs w:val="24"/>
                <w:lang w:val="en-US"/>
              </w:rPr>
              <w:t>Tm</w:t>
            </w:r>
          </w:p>
        </w:tc>
        <w:tc>
          <w:tcPr>
            <w:tcW w:w="4680" w:type="dxa"/>
          </w:tcPr>
          <w:p w14:paraId="192792DE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0,03</w:t>
            </w:r>
          </w:p>
        </w:tc>
      </w:tr>
      <w:tr w:rsidR="00170BB2" w14:paraId="192792E2" w14:textId="77777777">
        <w:tc>
          <w:tcPr>
            <w:tcW w:w="4860" w:type="dxa"/>
          </w:tcPr>
          <w:p w14:paraId="192792E0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192</w:t>
            </w:r>
            <w:r>
              <w:rPr>
                <w:rFonts w:ascii="TimesLT" w:hAnsi="TimesLT"/>
                <w:szCs w:val="24"/>
                <w:lang w:val="en-US"/>
              </w:rPr>
              <w:t>Ir</w:t>
            </w:r>
          </w:p>
        </w:tc>
        <w:tc>
          <w:tcPr>
            <w:tcW w:w="4680" w:type="dxa"/>
          </w:tcPr>
          <w:p w14:paraId="192792E1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0,01</w:t>
            </w:r>
          </w:p>
        </w:tc>
      </w:tr>
      <w:tr w:rsidR="00170BB2" w14:paraId="192792E5" w14:textId="77777777">
        <w:tc>
          <w:tcPr>
            <w:tcW w:w="4860" w:type="dxa"/>
          </w:tcPr>
          <w:p w14:paraId="192792E3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204</w:t>
            </w:r>
            <w:r>
              <w:rPr>
                <w:rFonts w:ascii="TimesLT" w:hAnsi="TimesLT"/>
                <w:szCs w:val="24"/>
                <w:lang w:val="en-US"/>
              </w:rPr>
              <w:t>Tl</w:t>
            </w:r>
          </w:p>
        </w:tc>
        <w:tc>
          <w:tcPr>
            <w:tcW w:w="4680" w:type="dxa"/>
          </w:tcPr>
          <w:p w14:paraId="192792E4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0,1</w:t>
            </w:r>
          </w:p>
        </w:tc>
      </w:tr>
      <w:tr w:rsidR="00170BB2" w14:paraId="192792E8" w14:textId="77777777">
        <w:tc>
          <w:tcPr>
            <w:tcW w:w="4860" w:type="dxa"/>
          </w:tcPr>
          <w:p w14:paraId="192792E6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226</w:t>
            </w:r>
            <w:r>
              <w:rPr>
                <w:rFonts w:ascii="TimesLT" w:hAnsi="TimesLT"/>
                <w:szCs w:val="24"/>
                <w:lang w:val="en-US"/>
              </w:rPr>
              <w:t>Ra</w:t>
            </w:r>
            <w:r>
              <w:rPr>
                <w:rFonts w:ascii="TimesLT" w:hAnsi="TimesLT"/>
                <w:szCs w:val="24"/>
                <w:vertAlign w:val="superscript"/>
                <w:lang w:val="en-US"/>
              </w:rPr>
              <w:t>(2)</w:t>
            </w:r>
          </w:p>
        </w:tc>
        <w:tc>
          <w:tcPr>
            <w:tcW w:w="4680" w:type="dxa"/>
          </w:tcPr>
          <w:p w14:paraId="192792E7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0,002</w:t>
            </w:r>
          </w:p>
        </w:tc>
      </w:tr>
      <w:tr w:rsidR="00170BB2" w14:paraId="192792EB" w14:textId="77777777">
        <w:tc>
          <w:tcPr>
            <w:tcW w:w="4860" w:type="dxa"/>
          </w:tcPr>
          <w:p w14:paraId="192792E9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238</w:t>
            </w:r>
            <w:r>
              <w:rPr>
                <w:rFonts w:ascii="TimesLT" w:hAnsi="TimesLT"/>
                <w:szCs w:val="24"/>
                <w:lang w:val="en-US"/>
              </w:rPr>
              <w:t>Pu</w:t>
            </w:r>
            <w:r>
              <w:rPr>
                <w:rFonts w:ascii="TimesLT" w:hAnsi="TimesLT"/>
                <w:szCs w:val="24"/>
                <w:vertAlign w:val="superscript"/>
                <w:lang w:val="en-US"/>
              </w:rPr>
              <w:t>(1)</w:t>
            </w:r>
          </w:p>
        </w:tc>
        <w:tc>
          <w:tcPr>
            <w:tcW w:w="4680" w:type="dxa"/>
          </w:tcPr>
          <w:p w14:paraId="192792EA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0,1</w:t>
            </w:r>
          </w:p>
        </w:tc>
      </w:tr>
      <w:tr w:rsidR="00170BB2" w14:paraId="192792EE" w14:textId="77777777">
        <w:tc>
          <w:tcPr>
            <w:tcW w:w="4860" w:type="dxa"/>
          </w:tcPr>
          <w:p w14:paraId="192792EC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241</w:t>
            </w:r>
            <w:r>
              <w:rPr>
                <w:rFonts w:ascii="TimesLT" w:hAnsi="TimesLT"/>
                <w:szCs w:val="24"/>
                <w:lang w:val="en-US"/>
              </w:rPr>
              <w:t>Am</w:t>
            </w:r>
            <w:r>
              <w:rPr>
                <w:rFonts w:ascii="TimesLT" w:hAnsi="TimesLT"/>
                <w:szCs w:val="24"/>
                <w:vertAlign w:val="superscript"/>
                <w:lang w:val="en-US"/>
              </w:rPr>
              <w:t>(2)</w:t>
            </w:r>
          </w:p>
        </w:tc>
        <w:tc>
          <w:tcPr>
            <w:tcW w:w="4680" w:type="dxa"/>
          </w:tcPr>
          <w:p w14:paraId="192792ED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0,1</w:t>
            </w:r>
          </w:p>
        </w:tc>
      </w:tr>
      <w:tr w:rsidR="00170BB2" w14:paraId="192792F1" w14:textId="77777777">
        <w:tc>
          <w:tcPr>
            <w:tcW w:w="4860" w:type="dxa"/>
          </w:tcPr>
          <w:p w14:paraId="192792EF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vertAlign w:val="superscript"/>
                <w:lang w:val="en-US"/>
              </w:rPr>
              <w:t>252</w:t>
            </w:r>
            <w:r>
              <w:rPr>
                <w:rFonts w:ascii="TimesLT" w:hAnsi="TimesLT"/>
                <w:szCs w:val="24"/>
                <w:lang w:val="en-US"/>
              </w:rPr>
              <w:t>Cf</w:t>
            </w:r>
          </w:p>
        </w:tc>
        <w:tc>
          <w:tcPr>
            <w:tcW w:w="4680" w:type="dxa"/>
          </w:tcPr>
          <w:p w14:paraId="192792F0" w14:textId="77777777" w:rsidR="00170BB2" w:rsidRDefault="00A5209E">
            <w:pPr>
              <w:jc w:val="center"/>
              <w:rPr>
                <w:rFonts w:ascii="TimesLT" w:hAnsi="TimesLT"/>
                <w:szCs w:val="24"/>
                <w:lang w:val="en-US"/>
              </w:rPr>
            </w:pPr>
            <w:r>
              <w:rPr>
                <w:rFonts w:ascii="TimesLT" w:hAnsi="TimesLT"/>
                <w:szCs w:val="24"/>
                <w:lang w:val="en-US"/>
              </w:rPr>
              <w:t>0,005</w:t>
            </w:r>
          </w:p>
        </w:tc>
      </w:tr>
    </w:tbl>
    <w:p w14:paraId="192792F2" w14:textId="77777777" w:rsidR="00170BB2" w:rsidRPr="00A5209E" w:rsidRDefault="00A5209E">
      <w:pPr>
        <w:ind w:firstLine="720"/>
        <w:jc w:val="both"/>
        <w:rPr>
          <w:rFonts w:ascii="TimesLT" w:hAnsi="TimesLT"/>
          <w:szCs w:val="24"/>
        </w:rPr>
      </w:pPr>
      <w:r w:rsidRPr="00A5209E">
        <w:rPr>
          <w:rFonts w:ascii="TimesLT" w:hAnsi="TimesLT"/>
          <w:szCs w:val="24"/>
          <w:vertAlign w:val="superscript"/>
        </w:rPr>
        <w:t>(1)</w:t>
      </w:r>
      <w:r w:rsidRPr="00A5209E">
        <w:rPr>
          <w:rFonts w:ascii="TimesLT" w:hAnsi="TimesLT"/>
          <w:szCs w:val="24"/>
        </w:rPr>
        <w:t xml:space="preserve"> Taip pat dukteriniai radionuklidai, kurių pusėjimo trukmė mažesnė nei 10 dienų.</w:t>
      </w:r>
    </w:p>
    <w:p w14:paraId="192792F3" w14:textId="77777777" w:rsidR="00170BB2" w:rsidRDefault="00A5209E">
      <w:pPr>
        <w:ind w:firstLine="720"/>
        <w:jc w:val="both"/>
        <w:rPr>
          <w:rFonts w:ascii="TimesLT" w:hAnsi="TimesLT"/>
          <w:szCs w:val="24"/>
          <w:lang w:val="en-US"/>
        </w:rPr>
      </w:pPr>
      <w:r>
        <w:rPr>
          <w:rFonts w:ascii="TimesLT" w:hAnsi="TimesLT"/>
          <w:szCs w:val="24"/>
          <w:vertAlign w:val="superscript"/>
          <w:lang w:val="en-US"/>
        </w:rPr>
        <w:t>(2)</w:t>
      </w:r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szCs w:val="24"/>
          <w:lang w:val="en-US"/>
        </w:rPr>
        <w:t>Taip</w:t>
      </w:r>
      <w:proofErr w:type="spellEnd"/>
      <w:r>
        <w:rPr>
          <w:rFonts w:ascii="TimesLT" w:hAnsi="TimesLT"/>
          <w:szCs w:val="24"/>
          <w:lang w:val="en-US"/>
        </w:rPr>
        <w:t xml:space="preserve"> </w:t>
      </w:r>
      <w:proofErr w:type="gramStart"/>
      <w:r>
        <w:rPr>
          <w:rFonts w:ascii="TimesLT" w:hAnsi="TimesLT"/>
          <w:szCs w:val="24"/>
          <w:lang w:val="en-US"/>
        </w:rPr>
        <w:t>pat</w:t>
      </w:r>
      <w:proofErr w:type="gramEnd"/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szCs w:val="24"/>
          <w:lang w:val="en-US"/>
        </w:rPr>
        <w:t>neutronų</w:t>
      </w:r>
      <w:proofErr w:type="spellEnd"/>
      <w:r>
        <w:rPr>
          <w:rFonts w:ascii="TimesLT" w:hAnsi="TimesLT"/>
          <w:szCs w:val="24"/>
          <w:lang w:val="en-US"/>
        </w:rPr>
        <w:t xml:space="preserve"> šaltiniai su beriliu.</w:t>
      </w:r>
    </w:p>
    <w:p w14:paraId="192792F4" w14:textId="77777777" w:rsidR="00170BB2" w:rsidRDefault="00A5209E">
      <w:pPr>
        <w:jc w:val="both"/>
        <w:rPr>
          <w:szCs w:val="24"/>
        </w:rPr>
      </w:pPr>
    </w:p>
    <w:p w14:paraId="192792F5" w14:textId="77777777" w:rsidR="00170BB2" w:rsidRDefault="00A5209E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Uždaruosius šaltinius vežant vienoje transporto priemonėje ar saugant vienoje saugykloje</w:t>
      </w:r>
      <w:r>
        <w:rPr>
          <w:szCs w:val="24"/>
          <w:lang w:eastAsia="lt-LT"/>
        </w:rPr>
        <w:t xml:space="preserve">, nustatoma visų uždarųjų šaltinių bendra uždarųjų šaltinių pavojingumo kategorija. </w:t>
      </w:r>
      <w:r>
        <w:rPr>
          <w:szCs w:val="24"/>
          <w:lang w:eastAsia="lt-LT"/>
        </w:rPr>
        <w:lastRenderedPageBreak/>
        <w:t>Tada skirtingus radionuklidus turinčių visų uždarųjų šaltinių A ir D santykis apskaičiuojamas pagal formulę:</w:t>
      </w:r>
    </w:p>
    <w:p w14:paraId="192792F6" w14:textId="77777777" w:rsidR="00170BB2" w:rsidRDefault="00170BB2">
      <w:pPr>
        <w:spacing w:line="360" w:lineRule="auto"/>
        <w:jc w:val="both"/>
        <w:rPr>
          <w:szCs w:val="24"/>
          <w:lang w:eastAsia="lt-LT"/>
        </w:rPr>
      </w:pPr>
    </w:p>
    <w:p w14:paraId="192792F7" w14:textId="77777777" w:rsidR="00170BB2" w:rsidRDefault="00A5209E">
      <w:pPr>
        <w:ind w:left="2592" w:firstLine="1296"/>
        <w:jc w:val="both"/>
        <w:rPr>
          <w:szCs w:val="24"/>
        </w:rPr>
      </w:pPr>
      <w:r>
        <w:rPr>
          <w:position w:val="-30"/>
          <w:szCs w:val="24"/>
        </w:rPr>
        <w:object w:dxaOrig="1900" w:dyaOrig="760" w14:anchorId="19279301">
          <v:shape id="_x0000_i1026" type="#_x0000_t75" style="width:95.25pt;height:38.25pt" o:ole="" fillcolor="window">
            <v:imagedata r:id="rId16" o:title=""/>
          </v:shape>
          <o:OLEObject Type="Embed" ProgID="Equation.3" ShapeID="_x0000_i1026" DrawAspect="Content" ObjectID="_1519649418" r:id="rId17"/>
        </w:object>
      </w:r>
      <w:r>
        <w:rPr>
          <w:szCs w:val="24"/>
        </w:rPr>
        <w:t>,</w:t>
      </w:r>
    </w:p>
    <w:p w14:paraId="192792F8" w14:textId="77777777" w:rsidR="00170BB2" w:rsidRDefault="00170BB2">
      <w:pPr>
        <w:tabs>
          <w:tab w:val="left" w:pos="720"/>
        </w:tabs>
        <w:ind w:firstLine="709"/>
        <w:jc w:val="both"/>
        <w:rPr>
          <w:rFonts w:ascii="TimesLT" w:hAnsi="TimesLT"/>
          <w:szCs w:val="24"/>
          <w:lang w:val="en-US"/>
        </w:rPr>
      </w:pPr>
    </w:p>
    <w:p w14:paraId="192792F9" w14:textId="77777777" w:rsidR="00170BB2" w:rsidRDefault="00A5209E">
      <w:pPr>
        <w:tabs>
          <w:tab w:val="left" w:pos="720"/>
        </w:tabs>
        <w:ind w:firstLine="709"/>
        <w:jc w:val="both"/>
        <w:rPr>
          <w:rFonts w:ascii="TimesLT" w:hAnsi="TimesLT"/>
          <w:szCs w:val="24"/>
          <w:lang w:val="en-US"/>
        </w:rPr>
      </w:pPr>
      <w:r>
        <w:rPr>
          <w:rFonts w:ascii="TimesLT" w:hAnsi="TimesLT"/>
          <w:szCs w:val="24"/>
          <w:lang w:val="en-US"/>
        </w:rPr>
        <w:t>čia:</w:t>
      </w:r>
    </w:p>
    <w:p w14:paraId="192792FA" w14:textId="77777777" w:rsidR="00170BB2" w:rsidRDefault="00A5209E">
      <w:pPr>
        <w:tabs>
          <w:tab w:val="left" w:pos="720"/>
        </w:tabs>
        <w:ind w:firstLine="709"/>
        <w:jc w:val="both"/>
        <w:rPr>
          <w:rFonts w:ascii="TimesLT" w:hAnsi="TimesLT"/>
          <w:szCs w:val="24"/>
          <w:lang w:val="en-US"/>
        </w:rPr>
      </w:pPr>
      <w:r>
        <w:rPr>
          <w:rFonts w:ascii="TimesLT" w:hAnsi="TimesLT"/>
          <w:i/>
          <w:szCs w:val="24"/>
          <w:lang w:val="en-US"/>
        </w:rPr>
        <w:t>A</w:t>
      </w:r>
      <w:r>
        <w:rPr>
          <w:rFonts w:ascii="TimesLT" w:hAnsi="TimesLT"/>
          <w:i/>
          <w:szCs w:val="24"/>
          <w:vertAlign w:val="subscript"/>
          <w:lang w:val="en-US"/>
        </w:rPr>
        <w:t>i,n</w:t>
      </w:r>
      <w:r>
        <w:rPr>
          <w:rFonts w:ascii="TimesLT" w:hAnsi="TimesLT"/>
          <w:szCs w:val="24"/>
          <w:lang w:val="en-US"/>
        </w:rPr>
        <w:t xml:space="preserve"> – </w:t>
      </w:r>
      <w:r>
        <w:rPr>
          <w:rFonts w:ascii="TimesLT" w:hAnsi="TimesLT"/>
          <w:i/>
          <w:szCs w:val="24"/>
          <w:lang w:val="en-US"/>
        </w:rPr>
        <w:t>i</w:t>
      </w:r>
      <w:r>
        <w:rPr>
          <w:rFonts w:ascii="TimesLT" w:hAnsi="TimesLT"/>
          <w:szCs w:val="24"/>
          <w:lang w:val="en-US"/>
        </w:rPr>
        <w:t xml:space="preserve">-tojo uždarojo šaltinio, </w:t>
      </w:r>
      <w:r>
        <w:rPr>
          <w:rFonts w:ascii="TimesLT" w:hAnsi="TimesLT"/>
          <w:i/>
          <w:szCs w:val="24"/>
          <w:lang w:val="en-US"/>
        </w:rPr>
        <w:t>n</w:t>
      </w:r>
      <w:r>
        <w:rPr>
          <w:rFonts w:ascii="TimesLT" w:hAnsi="TimesLT"/>
          <w:szCs w:val="24"/>
          <w:lang w:val="en-US"/>
        </w:rPr>
        <w:t>-tojo radionuklido A;</w:t>
      </w:r>
    </w:p>
    <w:p w14:paraId="192792FB" w14:textId="77777777" w:rsidR="00170BB2" w:rsidRDefault="00A5209E">
      <w:pPr>
        <w:tabs>
          <w:tab w:val="left" w:pos="720"/>
        </w:tabs>
        <w:ind w:firstLine="709"/>
        <w:jc w:val="both"/>
        <w:rPr>
          <w:rFonts w:ascii="TimesLT" w:hAnsi="TimesLT"/>
          <w:szCs w:val="24"/>
          <w:lang w:val="en-US"/>
        </w:rPr>
      </w:pPr>
      <w:r>
        <w:rPr>
          <w:rFonts w:ascii="TimesLT" w:hAnsi="TimesLT"/>
          <w:i/>
          <w:szCs w:val="24"/>
          <w:lang w:val="en-US"/>
        </w:rPr>
        <w:t>D</w:t>
      </w:r>
      <w:r>
        <w:rPr>
          <w:rFonts w:ascii="TimesLT" w:hAnsi="TimesLT"/>
          <w:i/>
          <w:szCs w:val="24"/>
          <w:vertAlign w:val="subscript"/>
          <w:lang w:val="en-US"/>
        </w:rPr>
        <w:t>n</w:t>
      </w:r>
      <w:r>
        <w:rPr>
          <w:rFonts w:ascii="TimesLT" w:hAnsi="TimesLT"/>
          <w:szCs w:val="24"/>
          <w:lang w:val="en-US"/>
        </w:rPr>
        <w:t xml:space="preserve"> – </w:t>
      </w:r>
      <w:r>
        <w:rPr>
          <w:rFonts w:ascii="TimesLT" w:hAnsi="TimesLT"/>
          <w:i/>
          <w:szCs w:val="24"/>
          <w:lang w:val="en-US"/>
        </w:rPr>
        <w:t>n</w:t>
      </w:r>
      <w:r>
        <w:rPr>
          <w:rFonts w:ascii="TimesLT" w:hAnsi="TimesLT"/>
          <w:szCs w:val="24"/>
          <w:lang w:val="en-US"/>
        </w:rPr>
        <w:t>-tojo radionuklido D.</w:t>
      </w:r>
    </w:p>
    <w:p w14:paraId="192792FC" w14:textId="77777777" w:rsidR="00170BB2" w:rsidRDefault="00A5209E">
      <w:pPr>
        <w:tabs>
          <w:tab w:val="left" w:pos="720"/>
        </w:tabs>
        <w:jc w:val="both"/>
        <w:rPr>
          <w:rFonts w:ascii="TimesLT" w:hAnsi="TimesLT"/>
          <w:szCs w:val="24"/>
          <w:lang w:val="en-US"/>
        </w:rPr>
      </w:pPr>
    </w:p>
    <w:bookmarkStart w:id="0" w:name="_GoBack" w:displacedByCustomXml="prev"/>
    <w:p w14:paraId="192792FD" w14:textId="77777777" w:rsidR="00170BB2" w:rsidRDefault="00A5209E">
      <w:pPr>
        <w:tabs>
          <w:tab w:val="left" w:pos="720"/>
        </w:tabs>
        <w:ind w:firstLine="720"/>
        <w:jc w:val="both"/>
        <w:rPr>
          <w:rFonts w:ascii="TimesLT" w:hAnsi="TimesLT"/>
          <w:szCs w:val="24"/>
          <w:lang w:val="en-US"/>
        </w:rPr>
      </w:pPr>
      <w:r>
        <w:rPr>
          <w:rFonts w:ascii="TimesLT" w:hAnsi="TimesLT"/>
          <w:szCs w:val="24"/>
          <w:lang w:val="en-US"/>
        </w:rPr>
        <w:t>10</w:t>
      </w:r>
      <w:r>
        <w:rPr>
          <w:rFonts w:ascii="TimesLT" w:hAnsi="TimesLT"/>
          <w:szCs w:val="24"/>
          <w:lang w:val="en-US"/>
        </w:rPr>
        <w:t>. Aprašo 7–9 punktuose nustatyta tvarka taikoma ir atvirųjų jonizuojančiosios spinduliuotės šaltinių pavojingumo kategorijoms nustatyti.</w:t>
      </w:r>
    </w:p>
    <w:p w14:paraId="192792FE" w14:textId="77777777" w:rsidR="00170BB2" w:rsidRDefault="00A5209E">
      <w:pPr>
        <w:jc w:val="center"/>
        <w:rPr>
          <w:rFonts w:ascii="TimesLT" w:hAnsi="TimesLT"/>
          <w:szCs w:val="24"/>
          <w:lang w:val="en-US"/>
        </w:rPr>
      </w:pPr>
      <w:r>
        <w:rPr>
          <w:rFonts w:ascii="TimesLT" w:hAnsi="TimesLT"/>
          <w:szCs w:val="24"/>
          <w:lang w:val="en-US"/>
        </w:rPr>
        <w:t>__________</w:t>
      </w:r>
    </w:p>
    <w:p w14:paraId="192792FF" w14:textId="77777777" w:rsidR="00170BB2" w:rsidRDefault="00A5209E">
      <w:pPr>
        <w:tabs>
          <w:tab w:val="left" w:pos="5400"/>
          <w:tab w:val="right" w:pos="9808"/>
        </w:tabs>
        <w:rPr>
          <w:szCs w:val="24"/>
        </w:rPr>
      </w:pPr>
    </w:p>
    <w:bookmarkEnd w:id="0" w:displacedByCustomXml="next"/>
    <w:sectPr w:rsidR="00170BB2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361" w:right="680" w:bottom="136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79304" w14:textId="77777777" w:rsidR="00170BB2" w:rsidRDefault="00A5209E">
      <w:r>
        <w:separator/>
      </w:r>
    </w:p>
  </w:endnote>
  <w:endnote w:type="continuationSeparator" w:id="0">
    <w:p w14:paraId="19279305" w14:textId="77777777" w:rsidR="00170BB2" w:rsidRDefault="00A5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930A" w14:textId="77777777" w:rsidR="00170BB2" w:rsidRDefault="00A5209E">
    <w:pPr>
      <w:framePr w:wrap="auto" w:vAnchor="text" w:hAnchor="margin" w:xAlign="right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end"/>
    </w:r>
  </w:p>
  <w:p w14:paraId="1927930B" w14:textId="77777777" w:rsidR="00170BB2" w:rsidRDefault="00170BB2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930C" w14:textId="77777777" w:rsidR="00170BB2" w:rsidRDefault="00170BB2">
    <w:pPr>
      <w:tabs>
        <w:tab w:val="center" w:pos="4320"/>
        <w:tab w:val="right" w:pos="864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930E" w14:textId="77777777" w:rsidR="00170BB2" w:rsidRDefault="00170BB2">
    <w:pPr>
      <w:tabs>
        <w:tab w:val="center" w:pos="4320"/>
        <w:tab w:val="right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9313" w14:textId="77777777" w:rsidR="00170BB2" w:rsidRDefault="00A5209E">
    <w:pPr>
      <w:framePr w:wrap="auto" w:vAnchor="text" w:hAnchor="margin" w:xAlign="center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14:paraId="19279314" w14:textId="77777777" w:rsidR="00170BB2" w:rsidRDefault="00170BB2">
    <w:pPr>
      <w:tabs>
        <w:tab w:val="center" w:pos="4320"/>
        <w:tab w:val="right" w:pos="864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9315" w14:textId="77777777" w:rsidR="00170BB2" w:rsidRDefault="00170BB2">
    <w:pPr>
      <w:framePr w:wrap="auto" w:vAnchor="text" w:hAnchor="margin" w:xAlign="center" w:y="1"/>
      <w:tabs>
        <w:tab w:val="center" w:pos="4320"/>
        <w:tab w:val="right" w:pos="8640"/>
      </w:tabs>
    </w:pPr>
  </w:p>
  <w:p w14:paraId="19279316" w14:textId="77777777" w:rsidR="00170BB2" w:rsidRDefault="00170BB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79302" w14:textId="77777777" w:rsidR="00170BB2" w:rsidRDefault="00A5209E">
      <w:r>
        <w:separator/>
      </w:r>
    </w:p>
  </w:footnote>
  <w:footnote w:type="continuationSeparator" w:id="0">
    <w:p w14:paraId="19279303" w14:textId="77777777" w:rsidR="00170BB2" w:rsidRDefault="00A5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9306" w14:textId="77777777" w:rsidR="00170BB2" w:rsidRDefault="00A5209E">
    <w:pPr>
      <w:framePr w:wrap="auto" w:vAnchor="text" w:hAnchor="margin" w:xAlign="center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end"/>
    </w:r>
  </w:p>
  <w:p w14:paraId="19279307" w14:textId="77777777" w:rsidR="00170BB2" w:rsidRDefault="00170BB2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9308" w14:textId="77777777" w:rsidR="00170BB2" w:rsidRDefault="00A5209E">
    <w:pPr>
      <w:framePr w:wrap="auto" w:vAnchor="text" w:hAnchor="margin" w:xAlign="center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19279309" w14:textId="77777777" w:rsidR="00170BB2" w:rsidRDefault="00170BB2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930D" w14:textId="77777777" w:rsidR="00170BB2" w:rsidRDefault="00170BB2">
    <w:pPr>
      <w:tabs>
        <w:tab w:val="center" w:pos="4320"/>
        <w:tab w:val="right" w:pos="86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930F" w14:textId="77777777" w:rsidR="00170BB2" w:rsidRDefault="00A5209E">
    <w:pPr>
      <w:framePr w:wrap="auto" w:vAnchor="text" w:hAnchor="margin" w:xAlign="center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end"/>
    </w:r>
  </w:p>
  <w:p w14:paraId="19279310" w14:textId="77777777" w:rsidR="00170BB2" w:rsidRDefault="00170BB2">
    <w:pPr>
      <w:tabs>
        <w:tab w:val="center" w:pos="4320"/>
        <w:tab w:val="right" w:pos="864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9311" w14:textId="77777777" w:rsidR="00170BB2" w:rsidRDefault="00A5209E">
    <w:pPr>
      <w:framePr w:wrap="auto" w:vAnchor="text" w:hAnchor="margin" w:xAlign="center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14:paraId="19279312" w14:textId="77777777" w:rsidR="00170BB2" w:rsidRDefault="00170BB2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1"/>
    <w:rsid w:val="00047111"/>
    <w:rsid w:val="00170BB2"/>
    <w:rsid w:val="00A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,"/>
  <w:listSeparator w:val=";"/>
  <w14:docId w14:val="19279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520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5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520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5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image" Target="media/image2.wmf"/>
  <Relationship Id="rId17" Type="http://schemas.openxmlformats.org/officeDocument/2006/relationships/oleObject" Target="embeddings/oleObject2.bin"/>
  <Relationship Id="rId18" Type="http://schemas.openxmlformats.org/officeDocument/2006/relationships/header" Target="header4.xml"/>
  <Relationship Id="rId19" Type="http://schemas.openxmlformats.org/officeDocument/2006/relationships/header" Target="header5.xml"/>
  <Relationship Id="rId2" Type="http://schemas.openxmlformats.org/officeDocument/2006/relationships/styles" Target="styles.xml"/>
  <Relationship Id="rId20" Type="http://schemas.openxmlformats.org/officeDocument/2006/relationships/footer" Target="footer4.xml"/>
  <Relationship Id="rId21" Type="http://schemas.openxmlformats.org/officeDocument/2006/relationships/footer" Target="footer5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7283</Characters>
  <Application>Microsoft Office Word</Application>
  <DocSecurity>0</DocSecurity>
  <Lines>60</Lines>
  <Paragraphs>16</Paragraphs>
  <ScaleCrop>false</ScaleCrop>
  <Company>RSC</Company>
  <LinksUpToDate>false</LinksUpToDate>
  <CharactersWithSpaces>8267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2016-03-16T09:42:00Z</dcterms:created>
  <dc:creator>RSC</dc:creator>
  <lastModifiedBy>LAUKIONYTĖ Irena</lastModifiedBy>
  <lastPrinted>2016-02-12T12:31:00Z</lastPrinted>
  <dcterms:modified xsi:type="dcterms:W3CDTF">2016-03-16T14:04:00Z</dcterms:modified>
  <revision>3</revision>
  <dc:title>Isakymas</dc:title>
</coreProperties>
</file>