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CF882D7" wp14:editId="54C0452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ELEKTRONINIŲ PINIGŲ IR ELEKTRONINIŲ PINIGŲ ĮSTAIGŲ ĮSTATYMO </w:t>
        <w:br/>
        <w:t>NR. XI-1868 15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gegužės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XIII-2962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15 straipsnio pakeitimas</w:t>
      </w:r>
    </w:p>
    <w:p>
      <w:pPr>
        <w:tabs>
          <w:tab w:val="left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15 straipsnio 9 dalį ir ją išdėstyti taip: </w:t>
      </w:r>
    </w:p>
    <w:p>
      <w:pPr>
        <w:tabs>
          <w:tab w:val="left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 xml:space="preserve">. Apie licencijos galiojimo panaikinimą arba sustabdymą ir sustabdymo panaikinimą priežiūros institucija skelbia savo interneto svetainėje. </w:t>
      </w:r>
      <w:r>
        <w:rPr>
          <w:color w:val="000000"/>
          <w:szCs w:val="24"/>
          <w:lang w:eastAsia="lt-LT"/>
        </w:rPr>
        <w:t>Apie licencijos galiojimo panaikinimą arba sustabdymą</w:t>
      </w:r>
      <w:r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>ir sustabdymo panaikinimą, įskaitant</w:t>
      </w:r>
      <w:r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>licencijos galiojimo panaikinimo ar sustabdymo priežastis, priežiūros institucija praneša Europos bankininkystės institucijai Europos Komisijos priimtų deleguotųjų teisės aktų, kaip nurodyta Direktyvos (ES) 2015/2366 15 straipsnio 4 ir 5 dalyse, nustatyta tvarka.“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2020 m. birželio 15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838</Characters>
  <Application>Microsoft Office Word</Application>
  <DocSecurity>4</DocSecurity>
  <Lines>29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944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2020-05-28T06:12:00Z</dcterms:created>
  <dc:creator>„Windows“ vartotojas</dc:creator>
  <lastModifiedBy>adlibuser</lastModifiedBy>
  <lastPrinted>2020-05-21T12:33:00Z</lastPrinted>
  <dcterms:modified xsi:type="dcterms:W3CDTF">2020-05-28T06:12:00Z</dcterms:modified>
  <revision>2</revision>
</coreProperties>
</file>