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FB2C" w14:textId="6691A8E6" w:rsidR="00B91B1E" w:rsidRDefault="00B91B1E">
      <w:pPr>
        <w:rPr>
          <w:sz w:val="10"/>
          <w:szCs w:val="10"/>
        </w:rPr>
      </w:pPr>
    </w:p>
    <w:p w14:paraId="529DFB2D" w14:textId="77777777" w:rsidR="00B91B1E" w:rsidRDefault="006E07BE">
      <w:pPr>
        <w:suppressAutoHyphens/>
        <w:jc w:val="center"/>
        <w:rPr>
          <w:b/>
          <w:bCs/>
          <w:lang w:eastAsia="lt-LT"/>
        </w:rPr>
      </w:pPr>
      <w:r>
        <w:rPr>
          <w:b/>
          <w:bCs/>
          <w:noProof/>
          <w:lang w:eastAsia="lt-LT"/>
        </w:rPr>
        <w:drawing>
          <wp:inline distT="0" distB="0" distL="0" distR="0" wp14:anchorId="529DFBA9" wp14:editId="529DFBAA">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9"/>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529DFB2F" w14:textId="77777777" w:rsidR="00B91B1E" w:rsidRDefault="006E07BE">
      <w:pPr>
        <w:suppressAutoHyphens/>
        <w:jc w:val="center"/>
        <w:rPr>
          <w:b/>
          <w:bCs/>
          <w:lang w:eastAsia="lt-LT"/>
        </w:rPr>
      </w:pPr>
      <w:r>
        <w:rPr>
          <w:b/>
          <w:bCs/>
          <w:lang w:eastAsia="lt-LT"/>
        </w:rPr>
        <w:t>LIETUVOS RESPUBLIKOS APLINKOS MINISTRAS</w:t>
      </w:r>
    </w:p>
    <w:p w14:paraId="43F88946" w14:textId="77777777" w:rsidR="00C951A3" w:rsidRDefault="00C951A3">
      <w:pPr>
        <w:suppressAutoHyphens/>
        <w:jc w:val="center"/>
        <w:rPr>
          <w:b/>
          <w:bCs/>
          <w:lang w:eastAsia="lt-LT"/>
        </w:rPr>
      </w:pPr>
    </w:p>
    <w:p w14:paraId="529DFB31" w14:textId="77777777" w:rsidR="00B91B1E" w:rsidRDefault="006E07BE">
      <w:pPr>
        <w:suppressAutoHyphens/>
        <w:jc w:val="center"/>
        <w:rPr>
          <w:b/>
          <w:bCs/>
          <w:lang w:eastAsia="lt-LT"/>
        </w:rPr>
      </w:pPr>
      <w:r>
        <w:rPr>
          <w:b/>
          <w:bCs/>
          <w:lang w:eastAsia="lt-LT"/>
        </w:rPr>
        <w:t>ĮSAKYMAS</w:t>
      </w:r>
    </w:p>
    <w:p w14:paraId="529DFB33" w14:textId="77777777" w:rsidR="00B91B1E" w:rsidRDefault="006E07BE">
      <w:pPr>
        <w:keepLines/>
        <w:suppressAutoHyphens/>
        <w:ind w:left="851"/>
        <w:jc w:val="center"/>
        <w:textAlignment w:val="center"/>
        <w:rPr>
          <w:b/>
          <w:bCs/>
          <w:caps/>
          <w:color w:val="000000"/>
          <w:szCs w:val="24"/>
        </w:rPr>
      </w:pPr>
      <w:r>
        <w:rPr>
          <w:b/>
          <w:bCs/>
          <w:caps/>
          <w:color w:val="000000"/>
          <w:szCs w:val="24"/>
        </w:rPr>
        <w:t>DĖL LIETUVOS RESPUBLIKOS APLINKOS MINISTRO 2013 M. spalio 18 D. ĮSAKYMO Nr. D1-772 „DĖL STATYBOS TECHNINIO REGLAMENTO STR 1.01.06:2013 „YPATINGI STATINIAI“ PATVIRTINIMO“ PAKEITIMO</w:t>
      </w:r>
    </w:p>
    <w:p w14:paraId="529DFB35" w14:textId="77777777" w:rsidR="00B91B1E" w:rsidRDefault="00B91B1E">
      <w:pPr>
        <w:suppressAutoHyphens/>
        <w:jc w:val="center"/>
        <w:rPr>
          <w:b/>
          <w:lang w:eastAsia="lt-LT"/>
        </w:rPr>
      </w:pPr>
    </w:p>
    <w:p w14:paraId="529DFB36" w14:textId="77777777" w:rsidR="00B91B1E" w:rsidRDefault="006E07BE">
      <w:pPr>
        <w:suppressAutoHyphens/>
        <w:jc w:val="center"/>
        <w:rPr>
          <w:lang w:eastAsia="lt-LT"/>
        </w:rPr>
      </w:pPr>
      <w:r>
        <w:rPr>
          <w:lang w:eastAsia="lt-LT"/>
        </w:rPr>
        <w:t>2014 m. kovo 26 d. d. Nr. D1-308</w:t>
      </w:r>
    </w:p>
    <w:p w14:paraId="529DFB37" w14:textId="77777777" w:rsidR="00B91B1E" w:rsidRDefault="006E07BE">
      <w:pPr>
        <w:suppressAutoHyphens/>
        <w:jc w:val="center"/>
        <w:rPr>
          <w:lang w:eastAsia="lt-LT"/>
        </w:rPr>
      </w:pPr>
      <w:r>
        <w:rPr>
          <w:lang w:eastAsia="lt-LT"/>
        </w:rPr>
        <w:t>Vilnius</w:t>
      </w:r>
      <w:r>
        <w:rPr>
          <w:lang w:eastAsia="lt-LT"/>
        </w:rPr>
        <w:br/>
      </w:r>
    </w:p>
    <w:p w14:paraId="529DFB38" w14:textId="77777777" w:rsidR="00B91B1E" w:rsidRDefault="00B91B1E">
      <w:pPr>
        <w:suppressAutoHyphens/>
        <w:jc w:val="center"/>
        <w:rPr>
          <w:lang w:eastAsia="lt-LT"/>
        </w:rPr>
      </w:pPr>
    </w:p>
    <w:p w14:paraId="529DFB3A" w14:textId="77777777" w:rsidR="00B91B1E" w:rsidRDefault="006E07BE">
      <w:pPr>
        <w:suppressAutoHyphens/>
        <w:ind w:firstLine="720"/>
        <w:jc w:val="both"/>
        <w:textAlignment w:val="center"/>
        <w:rPr>
          <w:color w:val="000000"/>
          <w:szCs w:val="24"/>
        </w:rPr>
      </w:pPr>
      <w:r>
        <w:rPr>
          <w:color w:val="000000"/>
          <w:szCs w:val="24"/>
        </w:rPr>
        <w:t>P a k e i č i u statybos techninį reglamentą STR 1.01.06:2013 „Ypatingi statiniai“, patvirtintą Lietuvos Respublikos aplinkos ministro 2013 m. spalio 18 d. įsakymu Nr. D1-772 „Dėl statybos techninio reglamento STR 1.01.06:2013 „Ypatingi statiniai“ patvirtinimo“:</w:t>
      </w:r>
    </w:p>
    <w:p w14:paraId="529DFB3B" w14:textId="1CD43B9B" w:rsidR="00B91B1E" w:rsidRPr="006E07BE" w:rsidRDefault="00C951A3" w:rsidP="006E07BE">
      <w:pPr>
        <w:suppressAutoHyphens/>
        <w:spacing w:line="283" w:lineRule="auto"/>
        <w:ind w:left="720"/>
        <w:jc w:val="both"/>
        <w:textAlignment w:val="center"/>
        <w:rPr>
          <w:color w:val="000000"/>
          <w:szCs w:val="24"/>
        </w:rPr>
      </w:pPr>
      <w:r w:rsidR="006E07BE">
        <w:t xml:space="preserve">1. </w:t>
      </w:r>
      <w:r w:rsidR="006E07BE" w:rsidRPr="006E07BE">
        <w:rPr>
          <w:color w:val="000000"/>
          <w:szCs w:val="24"/>
        </w:rPr>
        <w:t>Pakeičiu IV skyriaus lentelės 1 punktą ir jį išdėstau taip:</w:t>
      </w:r>
    </w:p>
    <w:p w14:paraId="26A4A122" w14:textId="32A55489" w:rsidR="006E07BE" w:rsidRDefault="006E07BE" w:rsidP="006E07BE">
      <w:pPr>
        <w:suppressAutoHyphens/>
        <w:spacing w:line="283" w:lineRule="auto"/>
        <w:jc w:val="both"/>
        <w:textAlignment w:val="center"/>
        <w:rPr>
          <w:color w:val="000000"/>
          <w:szCs w:val="24"/>
        </w:rPr>
      </w:pPr>
    </w:p>
    <w:tbl>
      <w:tblPr>
        <w:tblW w:w="9639" w:type="dxa"/>
        <w:tblInd w:w="57" w:type="dxa"/>
        <w:tblLayout w:type="fixed"/>
        <w:tblCellMar>
          <w:left w:w="0" w:type="dxa"/>
          <w:right w:w="0" w:type="dxa"/>
        </w:tblCellMar>
        <w:tblLook w:val="0000" w:firstRow="0" w:lastRow="0" w:firstColumn="0" w:lastColumn="0" w:noHBand="0" w:noVBand="0"/>
      </w:tblPr>
      <w:tblGrid>
        <w:gridCol w:w="664"/>
        <w:gridCol w:w="2890"/>
        <w:gridCol w:w="6085"/>
      </w:tblGrid>
      <w:tr w:rsidR="00B91B1E" w14:paraId="529DFB4D" w14:textId="77777777">
        <w:trPr>
          <w:trHeight w:val="63"/>
        </w:trPr>
        <w:tc>
          <w:tcPr>
            <w:tcW w:w="6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29DFB3C" w14:textId="77777777" w:rsidR="00B91B1E" w:rsidRDefault="006E07BE">
            <w:pPr>
              <w:suppressAutoHyphens/>
              <w:spacing w:line="288" w:lineRule="auto"/>
              <w:jc w:val="center"/>
              <w:textAlignment w:val="center"/>
              <w:rPr>
                <w:color w:val="000000"/>
                <w:szCs w:val="24"/>
              </w:rPr>
            </w:pPr>
            <w:r>
              <w:rPr>
                <w:color w:val="000000"/>
                <w:szCs w:val="24"/>
              </w:rPr>
              <w:t>1.</w:t>
            </w:r>
          </w:p>
          <w:p w14:paraId="529DFB3D" w14:textId="77777777" w:rsidR="00B91B1E" w:rsidRDefault="00B91B1E">
            <w:pPr>
              <w:suppressAutoHyphens/>
              <w:spacing w:line="288" w:lineRule="auto"/>
              <w:jc w:val="center"/>
              <w:textAlignment w:val="center"/>
              <w:rPr>
                <w:color w:val="000000"/>
                <w:szCs w:val="24"/>
              </w:rPr>
            </w:pPr>
          </w:p>
        </w:tc>
        <w:tc>
          <w:tcPr>
            <w:tcW w:w="28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29DFB3E" w14:textId="77777777" w:rsidR="00B91B1E" w:rsidRDefault="006E07BE">
            <w:pPr>
              <w:suppressAutoHyphens/>
              <w:spacing w:line="288" w:lineRule="auto"/>
              <w:textAlignment w:val="center"/>
              <w:rPr>
                <w:color w:val="000000"/>
                <w:szCs w:val="24"/>
              </w:rPr>
            </w:pPr>
            <w:r>
              <w:rPr>
                <w:color w:val="000000"/>
                <w:szCs w:val="24"/>
              </w:rPr>
              <w:t>Gyvenamieji pastatai</w:t>
            </w:r>
          </w:p>
          <w:p w14:paraId="529DFB3F" w14:textId="77777777" w:rsidR="00B91B1E" w:rsidRDefault="00B91B1E">
            <w:pPr>
              <w:suppressAutoHyphens/>
              <w:spacing w:line="288" w:lineRule="auto"/>
              <w:textAlignment w:val="center"/>
              <w:rPr>
                <w:color w:val="000000"/>
                <w:szCs w:val="24"/>
              </w:rPr>
            </w:pPr>
          </w:p>
        </w:tc>
        <w:tc>
          <w:tcPr>
            <w:tcW w:w="6085" w:type="dxa"/>
            <w:tcBorders>
              <w:top w:val="single" w:sz="4" w:space="0" w:color="000000"/>
              <w:left w:val="single" w:sz="4" w:space="0" w:color="000000"/>
              <w:bottom w:val="single" w:sz="4" w:space="0" w:color="000000"/>
              <w:right w:val="single" w:sz="4" w:space="0" w:color="000000"/>
            </w:tcBorders>
          </w:tcPr>
          <w:p w14:paraId="529DFB40" w14:textId="77777777" w:rsidR="00B91B1E" w:rsidRDefault="006E07BE">
            <w:pPr>
              <w:suppressAutoHyphens/>
              <w:textAlignment w:val="center"/>
              <w:rPr>
                <w:color w:val="000000"/>
                <w:szCs w:val="24"/>
              </w:rPr>
            </w:pPr>
            <w:r>
              <w:rPr>
                <w:color w:val="000000"/>
                <w:szCs w:val="24"/>
              </w:rPr>
              <w:t>20 m ir aukštesni</w:t>
            </w:r>
          </w:p>
          <w:p w14:paraId="529DFB41" w14:textId="77777777" w:rsidR="00B91B1E" w:rsidRDefault="00B91B1E">
            <w:pPr>
              <w:suppressAutoHyphens/>
              <w:textAlignment w:val="center"/>
              <w:rPr>
                <w:strike/>
                <w:color w:val="000000"/>
                <w:szCs w:val="24"/>
              </w:rPr>
            </w:pPr>
          </w:p>
          <w:p w14:paraId="529DFB42" w14:textId="77777777" w:rsidR="00B91B1E" w:rsidRDefault="006E07BE">
            <w:pPr>
              <w:suppressAutoHyphens/>
              <w:textAlignment w:val="center"/>
              <w:rPr>
                <w:color w:val="000000"/>
                <w:szCs w:val="24"/>
              </w:rPr>
            </w:pPr>
            <w:r>
              <w:rPr>
                <w:color w:val="000000"/>
                <w:szCs w:val="24"/>
              </w:rPr>
              <w:t xml:space="preserve">įgilinti 7 m ir daugiau, skaičiuojant nuo pastatu užimamo žemės paviršiaus vidutinės </w:t>
            </w:r>
            <w:proofErr w:type="spellStart"/>
            <w:r>
              <w:rPr>
                <w:color w:val="000000"/>
                <w:szCs w:val="24"/>
              </w:rPr>
              <w:t>altitudės</w:t>
            </w:r>
            <w:proofErr w:type="spellEnd"/>
          </w:p>
          <w:p w14:paraId="529DFB43" w14:textId="77777777" w:rsidR="00B91B1E" w:rsidRDefault="00B91B1E">
            <w:pPr>
              <w:suppressAutoHyphens/>
              <w:textAlignment w:val="center"/>
              <w:rPr>
                <w:b/>
                <w:color w:val="000000"/>
                <w:szCs w:val="24"/>
              </w:rPr>
            </w:pPr>
          </w:p>
          <w:p w14:paraId="529DFB44" w14:textId="77777777" w:rsidR="00B91B1E" w:rsidRDefault="006E07BE">
            <w:pPr>
              <w:suppressAutoHyphens/>
              <w:textAlignment w:val="center"/>
              <w:rPr>
                <w:color w:val="000000"/>
                <w:szCs w:val="24"/>
              </w:rPr>
            </w:pPr>
            <w:proofErr w:type="spellStart"/>
            <w:r>
              <w:rPr>
                <w:color w:val="000000"/>
                <w:szCs w:val="24"/>
              </w:rPr>
              <w:t>konsolinių</w:t>
            </w:r>
            <w:proofErr w:type="spellEnd"/>
            <w:r>
              <w:rPr>
                <w:color w:val="000000"/>
                <w:szCs w:val="24"/>
              </w:rPr>
              <w:t xml:space="preserve"> pastato dalių laikančiosios konstrukcijos, išsikišančios nuo fasado plokštumos daugiau kaip 3 m</w:t>
            </w:r>
          </w:p>
          <w:p w14:paraId="529DFB45" w14:textId="77777777" w:rsidR="00B91B1E" w:rsidRDefault="00B91B1E">
            <w:pPr>
              <w:suppressAutoHyphens/>
              <w:textAlignment w:val="center"/>
              <w:rPr>
                <w:color w:val="000000"/>
                <w:szCs w:val="24"/>
              </w:rPr>
            </w:pPr>
          </w:p>
          <w:p w14:paraId="529DFB46" w14:textId="77777777" w:rsidR="00B91B1E" w:rsidRDefault="006E07BE">
            <w:pPr>
              <w:suppressAutoHyphens/>
              <w:textAlignment w:val="center"/>
              <w:rPr>
                <w:color w:val="000000"/>
                <w:szCs w:val="24"/>
              </w:rPr>
            </w:pPr>
            <w:r>
              <w:rPr>
                <w:color w:val="000000"/>
                <w:szCs w:val="24"/>
              </w:rPr>
              <w:t>kai pastate montuojamos ilgesnės kaip 12 m tarp atramų (angos) laikančiosios konstrukcijos, gaminamos pagal statinio projektą</w:t>
            </w:r>
          </w:p>
          <w:p w14:paraId="529DFB47" w14:textId="77777777" w:rsidR="00B91B1E" w:rsidRDefault="00B91B1E">
            <w:pPr>
              <w:suppressAutoHyphens/>
              <w:textAlignment w:val="center"/>
              <w:rPr>
                <w:color w:val="000000"/>
                <w:szCs w:val="24"/>
              </w:rPr>
            </w:pPr>
          </w:p>
          <w:p w14:paraId="529DFB48" w14:textId="77777777" w:rsidR="00B91B1E" w:rsidRDefault="006E07BE">
            <w:pPr>
              <w:suppressAutoHyphens/>
              <w:textAlignment w:val="center"/>
              <w:rPr>
                <w:color w:val="000000"/>
                <w:szCs w:val="24"/>
              </w:rPr>
            </w:pPr>
            <w:r>
              <w:rPr>
                <w:color w:val="000000"/>
                <w:szCs w:val="24"/>
              </w:rPr>
              <w:t>kai pastate montuojamos ilgesnės kaip 18 m tarp atramų (angos) laikančiosios konstrukcijos, kurios teisės aktų nustatyta tvarka tiekiamos Lietuvos Respublikos rinkai kaip statybos produktai</w:t>
            </w:r>
          </w:p>
          <w:p w14:paraId="529DFB49" w14:textId="77777777" w:rsidR="00B91B1E" w:rsidRDefault="00B91B1E">
            <w:pPr>
              <w:suppressAutoHyphens/>
              <w:textAlignment w:val="center"/>
              <w:rPr>
                <w:b/>
                <w:color w:val="000000"/>
                <w:szCs w:val="24"/>
              </w:rPr>
            </w:pPr>
          </w:p>
          <w:p w14:paraId="529DFB4A" w14:textId="77777777" w:rsidR="00B91B1E" w:rsidRDefault="006E07BE">
            <w:pPr>
              <w:suppressAutoHyphens/>
              <w:textAlignment w:val="center"/>
              <w:rPr>
                <w:color w:val="000000"/>
                <w:szCs w:val="24"/>
              </w:rPr>
            </w:pPr>
            <w:r>
              <w:rPr>
                <w:color w:val="000000"/>
                <w:szCs w:val="24"/>
              </w:rPr>
              <w:t>esami pastatai, kurių laikančiosios konstrukcijos tarp atramų (angos) ilgesnės kaip 12 m</w:t>
            </w:r>
          </w:p>
          <w:p w14:paraId="529DFB4B" w14:textId="77777777" w:rsidR="00B91B1E" w:rsidRDefault="00B91B1E">
            <w:pPr>
              <w:suppressAutoHyphens/>
              <w:textAlignment w:val="center"/>
              <w:rPr>
                <w:color w:val="000000"/>
                <w:szCs w:val="24"/>
              </w:rPr>
            </w:pPr>
          </w:p>
          <w:p w14:paraId="529DFB4C" w14:textId="7612A98A" w:rsidR="00B91B1E" w:rsidRDefault="006E07BE">
            <w:pPr>
              <w:suppressAutoHyphens/>
              <w:textAlignment w:val="center"/>
              <w:rPr>
                <w:color w:val="000000"/>
                <w:szCs w:val="24"/>
              </w:rPr>
            </w:pPr>
            <w:r>
              <w:rPr>
                <w:color w:val="000000"/>
                <w:szCs w:val="24"/>
              </w:rPr>
              <w:t>pastato bendras plotas didesnis kaip 2000 m</w:t>
            </w:r>
            <w:r>
              <w:rPr>
                <w:color w:val="000000"/>
                <w:szCs w:val="24"/>
                <w:vertAlign w:val="superscript"/>
              </w:rPr>
              <w:t>2</w:t>
            </w:r>
          </w:p>
        </w:tc>
      </w:tr>
    </w:tbl>
    <w:p w14:paraId="529DFB4E" w14:textId="2B22D40E" w:rsidR="00B91B1E" w:rsidRDefault="00C951A3">
      <w:pPr>
        <w:tabs>
          <w:tab w:val="left" w:pos="426"/>
        </w:tabs>
        <w:suppressAutoHyphens/>
        <w:spacing w:line="283" w:lineRule="auto"/>
        <w:ind w:firstLine="426"/>
        <w:jc w:val="both"/>
        <w:textAlignment w:val="center"/>
        <w:rPr>
          <w:bCs/>
          <w:color w:val="000000"/>
          <w:szCs w:val="24"/>
        </w:rPr>
      </w:pPr>
      <w:r w:rsidR="006E07BE">
        <w:rPr>
          <w:bCs/>
          <w:caps/>
          <w:color w:val="000000"/>
          <w:szCs w:val="24"/>
        </w:rPr>
        <w:t>2</w:t>
      </w:r>
      <w:r w:rsidR="006E07BE">
        <w:rPr>
          <w:bCs/>
          <w:caps/>
          <w:color w:val="000000"/>
          <w:szCs w:val="24"/>
        </w:rPr>
        <w:t xml:space="preserve">. </w:t>
      </w:r>
      <w:r w:rsidR="006E07BE">
        <w:rPr>
          <w:bCs/>
          <w:color w:val="000000"/>
          <w:szCs w:val="24"/>
        </w:rPr>
        <w:t>Pakeičiu IV skyriaus lentelės 2 punktą ir jį išdėstau taip:</w:t>
      </w:r>
    </w:p>
    <w:p w14:paraId="15F7D998" w14:textId="7FBAB2A2" w:rsidR="006E07BE" w:rsidRDefault="006E07BE">
      <w:pPr>
        <w:tabs>
          <w:tab w:val="left" w:pos="426"/>
        </w:tabs>
        <w:suppressAutoHyphens/>
        <w:spacing w:line="283" w:lineRule="auto"/>
        <w:ind w:firstLine="426"/>
        <w:jc w:val="both"/>
        <w:textAlignment w:val="center"/>
        <w:rPr>
          <w:bCs/>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799"/>
        <w:gridCol w:w="6100"/>
      </w:tblGrid>
      <w:tr w:rsidR="00B91B1E" w14:paraId="529DFB60" w14:textId="77777777">
        <w:tc>
          <w:tcPr>
            <w:tcW w:w="705" w:type="dxa"/>
          </w:tcPr>
          <w:p w14:paraId="529DFB4F" w14:textId="77777777" w:rsidR="00B91B1E" w:rsidRDefault="006E07BE">
            <w:pPr>
              <w:tabs>
                <w:tab w:val="left" w:pos="426"/>
              </w:tabs>
              <w:suppressAutoHyphens/>
              <w:spacing w:line="283" w:lineRule="auto"/>
              <w:jc w:val="center"/>
              <w:textAlignment w:val="center"/>
              <w:rPr>
                <w:bCs/>
                <w:caps/>
                <w:color w:val="000000"/>
                <w:szCs w:val="24"/>
              </w:rPr>
            </w:pPr>
            <w:r>
              <w:rPr>
                <w:color w:val="000000"/>
                <w:szCs w:val="24"/>
              </w:rPr>
              <w:t>2.</w:t>
            </w:r>
          </w:p>
        </w:tc>
        <w:tc>
          <w:tcPr>
            <w:tcW w:w="2799" w:type="dxa"/>
          </w:tcPr>
          <w:p w14:paraId="529DFB50" w14:textId="77777777" w:rsidR="00B91B1E" w:rsidRDefault="006E07BE">
            <w:pPr>
              <w:tabs>
                <w:tab w:val="left" w:pos="426"/>
              </w:tabs>
              <w:suppressAutoHyphens/>
              <w:jc w:val="both"/>
              <w:textAlignment w:val="center"/>
              <w:rPr>
                <w:bCs/>
                <w:caps/>
                <w:color w:val="000000"/>
                <w:szCs w:val="24"/>
              </w:rPr>
            </w:pPr>
            <w:r>
              <w:rPr>
                <w:color w:val="000000"/>
                <w:szCs w:val="24"/>
              </w:rPr>
              <w:t>Negyvenamieji pastatai</w:t>
            </w:r>
          </w:p>
        </w:tc>
        <w:tc>
          <w:tcPr>
            <w:tcW w:w="6100" w:type="dxa"/>
          </w:tcPr>
          <w:p w14:paraId="529DFB51" w14:textId="77777777" w:rsidR="00B91B1E" w:rsidRDefault="006E07BE">
            <w:pPr>
              <w:suppressAutoHyphens/>
              <w:textAlignment w:val="center"/>
              <w:rPr>
                <w:color w:val="000000"/>
                <w:szCs w:val="24"/>
              </w:rPr>
            </w:pPr>
            <w:r>
              <w:rPr>
                <w:color w:val="000000"/>
                <w:szCs w:val="24"/>
              </w:rPr>
              <w:t>20 m ir aukštesni</w:t>
            </w:r>
          </w:p>
          <w:p w14:paraId="529DFB52" w14:textId="77777777" w:rsidR="00B91B1E" w:rsidRDefault="00B91B1E">
            <w:pPr>
              <w:suppressAutoHyphens/>
              <w:textAlignment w:val="center"/>
              <w:rPr>
                <w:color w:val="000000"/>
                <w:szCs w:val="24"/>
              </w:rPr>
            </w:pPr>
          </w:p>
          <w:p w14:paraId="529DFB53" w14:textId="77777777" w:rsidR="00B91B1E" w:rsidRDefault="006E07BE">
            <w:pPr>
              <w:suppressAutoHyphens/>
              <w:textAlignment w:val="center"/>
              <w:rPr>
                <w:color w:val="000000"/>
                <w:szCs w:val="24"/>
              </w:rPr>
            </w:pPr>
            <w:r>
              <w:rPr>
                <w:color w:val="000000"/>
                <w:szCs w:val="24"/>
              </w:rPr>
              <w:t xml:space="preserve">įgilinti 7 m ir daugiau, skaičiuojant nuo pastatu užimamo žemės paviršiaus vidutinės </w:t>
            </w:r>
            <w:proofErr w:type="spellStart"/>
            <w:r>
              <w:rPr>
                <w:color w:val="000000"/>
                <w:szCs w:val="24"/>
              </w:rPr>
              <w:t>altitudės</w:t>
            </w:r>
            <w:proofErr w:type="spellEnd"/>
          </w:p>
          <w:p w14:paraId="529DFB54" w14:textId="77777777" w:rsidR="00B91B1E" w:rsidRDefault="00B91B1E">
            <w:pPr>
              <w:suppressAutoHyphens/>
              <w:textAlignment w:val="center"/>
              <w:rPr>
                <w:b/>
                <w:color w:val="000000"/>
                <w:szCs w:val="24"/>
              </w:rPr>
            </w:pPr>
          </w:p>
          <w:p w14:paraId="529DFB55" w14:textId="77777777" w:rsidR="00B91B1E" w:rsidRDefault="006E07BE">
            <w:pPr>
              <w:suppressAutoHyphens/>
              <w:textAlignment w:val="center"/>
              <w:rPr>
                <w:color w:val="000000"/>
                <w:szCs w:val="24"/>
              </w:rPr>
            </w:pPr>
            <w:proofErr w:type="spellStart"/>
            <w:r>
              <w:rPr>
                <w:color w:val="000000"/>
                <w:szCs w:val="24"/>
              </w:rPr>
              <w:t>konsolinių</w:t>
            </w:r>
            <w:proofErr w:type="spellEnd"/>
            <w:r>
              <w:rPr>
                <w:color w:val="000000"/>
                <w:szCs w:val="24"/>
              </w:rPr>
              <w:t xml:space="preserve"> pastato dalių laikančiosios konstrukcijos, </w:t>
            </w:r>
            <w:r>
              <w:rPr>
                <w:color w:val="000000"/>
                <w:szCs w:val="24"/>
              </w:rPr>
              <w:lastRenderedPageBreak/>
              <w:t>išsikišančios nuo fasado plokštumos daugiau kaip 3 m</w:t>
            </w:r>
          </w:p>
          <w:p w14:paraId="529DFB56" w14:textId="77777777" w:rsidR="00B91B1E" w:rsidRDefault="00B91B1E">
            <w:pPr>
              <w:suppressAutoHyphens/>
              <w:textAlignment w:val="center"/>
              <w:rPr>
                <w:color w:val="000000"/>
                <w:szCs w:val="24"/>
              </w:rPr>
            </w:pPr>
          </w:p>
          <w:p w14:paraId="529DFB57" w14:textId="77777777" w:rsidR="00B91B1E" w:rsidRDefault="006E07BE">
            <w:pPr>
              <w:suppressAutoHyphens/>
              <w:textAlignment w:val="center"/>
              <w:rPr>
                <w:color w:val="000000"/>
                <w:szCs w:val="24"/>
              </w:rPr>
            </w:pPr>
            <w:r>
              <w:rPr>
                <w:color w:val="000000"/>
                <w:szCs w:val="24"/>
              </w:rPr>
              <w:t>kai pastate montuojamos ilgesnės kaip 12 m tarp atramų (angos) laikančiosios konstrukcijos, gaminamos pagal statinio projektą</w:t>
            </w:r>
          </w:p>
          <w:p w14:paraId="529DFB58" w14:textId="77777777" w:rsidR="00B91B1E" w:rsidRDefault="00B91B1E">
            <w:pPr>
              <w:suppressAutoHyphens/>
              <w:textAlignment w:val="center"/>
              <w:rPr>
                <w:color w:val="000000"/>
                <w:szCs w:val="24"/>
              </w:rPr>
            </w:pPr>
          </w:p>
          <w:p w14:paraId="529DFB59" w14:textId="77777777" w:rsidR="00B91B1E" w:rsidRDefault="006E07BE">
            <w:pPr>
              <w:suppressAutoHyphens/>
              <w:textAlignment w:val="center"/>
              <w:rPr>
                <w:color w:val="000000"/>
                <w:szCs w:val="24"/>
              </w:rPr>
            </w:pPr>
            <w:r>
              <w:rPr>
                <w:color w:val="000000"/>
                <w:szCs w:val="24"/>
              </w:rPr>
              <w:t>kai pastate montuojamos ilgesnės kaip 18 m tarp atramų (angos) laikančiosios konstrukcijos, kurios teisės aktų nustatyta tvarka tiekiamos Lietuvos Respublikos rinkai kaip statybos produktai</w:t>
            </w:r>
          </w:p>
          <w:p w14:paraId="529DFB5A" w14:textId="77777777" w:rsidR="00B91B1E" w:rsidRDefault="00B91B1E">
            <w:pPr>
              <w:suppressAutoHyphens/>
              <w:textAlignment w:val="center"/>
              <w:rPr>
                <w:b/>
                <w:color w:val="000000"/>
                <w:szCs w:val="24"/>
              </w:rPr>
            </w:pPr>
          </w:p>
          <w:p w14:paraId="529DFB5B" w14:textId="77777777" w:rsidR="00B91B1E" w:rsidRDefault="006E07BE">
            <w:pPr>
              <w:suppressAutoHyphens/>
              <w:textAlignment w:val="center"/>
              <w:rPr>
                <w:color w:val="000000"/>
                <w:szCs w:val="24"/>
              </w:rPr>
            </w:pPr>
            <w:r>
              <w:rPr>
                <w:color w:val="000000"/>
                <w:szCs w:val="24"/>
              </w:rPr>
              <w:t>esami pastatai, kurių laikančiosios konstrukcijos tarp atramų (angos) ilgesnės kaip 12 m</w:t>
            </w:r>
          </w:p>
          <w:p w14:paraId="529DFB5C" w14:textId="77777777" w:rsidR="00B91B1E" w:rsidRDefault="00B91B1E">
            <w:pPr>
              <w:suppressAutoHyphens/>
              <w:textAlignment w:val="center"/>
              <w:rPr>
                <w:color w:val="000000"/>
                <w:szCs w:val="24"/>
              </w:rPr>
            </w:pPr>
          </w:p>
          <w:p w14:paraId="529DFB5D" w14:textId="77777777" w:rsidR="00B91B1E" w:rsidRDefault="006E07BE">
            <w:pPr>
              <w:tabs>
                <w:tab w:val="left" w:pos="426"/>
              </w:tabs>
              <w:suppressAutoHyphens/>
              <w:spacing w:line="283" w:lineRule="auto"/>
              <w:jc w:val="both"/>
              <w:textAlignment w:val="center"/>
              <w:rPr>
                <w:color w:val="000000"/>
                <w:szCs w:val="24"/>
                <w:vertAlign w:val="superscript"/>
              </w:rPr>
            </w:pPr>
            <w:r>
              <w:rPr>
                <w:color w:val="000000"/>
                <w:szCs w:val="24"/>
              </w:rPr>
              <w:t>pastato bendras plotas didesnis kaip 2000 m</w:t>
            </w:r>
            <w:r>
              <w:rPr>
                <w:color w:val="000000"/>
                <w:szCs w:val="24"/>
                <w:vertAlign w:val="superscript"/>
              </w:rPr>
              <w:t>2</w:t>
            </w:r>
          </w:p>
          <w:p w14:paraId="529DFB5E" w14:textId="77777777" w:rsidR="00B91B1E" w:rsidRDefault="00B91B1E">
            <w:pPr>
              <w:tabs>
                <w:tab w:val="left" w:pos="426"/>
              </w:tabs>
              <w:suppressAutoHyphens/>
              <w:spacing w:line="283" w:lineRule="auto"/>
              <w:jc w:val="both"/>
              <w:textAlignment w:val="center"/>
              <w:rPr>
                <w:color w:val="000000"/>
                <w:szCs w:val="24"/>
                <w:vertAlign w:val="superscript"/>
              </w:rPr>
            </w:pPr>
          </w:p>
          <w:p w14:paraId="529DFB5F" w14:textId="35842F99" w:rsidR="00B91B1E" w:rsidRDefault="006E07BE">
            <w:pPr>
              <w:tabs>
                <w:tab w:val="left" w:pos="426"/>
              </w:tabs>
              <w:suppressAutoHyphens/>
              <w:spacing w:line="283" w:lineRule="auto"/>
              <w:jc w:val="both"/>
              <w:textAlignment w:val="center"/>
              <w:rPr>
                <w:bCs/>
                <w:caps/>
                <w:color w:val="000000"/>
                <w:szCs w:val="24"/>
              </w:rPr>
            </w:pPr>
            <w:r>
              <w:rPr>
                <w:bCs/>
                <w:color w:val="000000"/>
                <w:szCs w:val="24"/>
              </w:rPr>
              <w:t>naudojamos 100 m</w:t>
            </w:r>
            <w:r>
              <w:rPr>
                <w:bCs/>
                <w:color w:val="000000"/>
                <w:szCs w:val="24"/>
                <w:vertAlign w:val="superscript"/>
              </w:rPr>
              <w:t>3</w:t>
            </w:r>
            <w:r>
              <w:rPr>
                <w:bCs/>
                <w:color w:val="000000"/>
                <w:szCs w:val="24"/>
              </w:rPr>
              <w:t xml:space="preserve"> ir didesnės 1 grupės takiųjų medžiagų talpyklos</w:t>
            </w:r>
          </w:p>
        </w:tc>
      </w:tr>
    </w:tbl>
    <w:p w14:paraId="529DFB61" w14:textId="0BA316A5" w:rsidR="00B91B1E" w:rsidRDefault="00C951A3">
      <w:pPr>
        <w:tabs>
          <w:tab w:val="left" w:pos="426"/>
        </w:tabs>
        <w:suppressAutoHyphens/>
        <w:spacing w:line="283" w:lineRule="auto"/>
        <w:ind w:firstLine="426"/>
        <w:jc w:val="both"/>
        <w:textAlignment w:val="center"/>
        <w:rPr>
          <w:bCs/>
          <w:color w:val="000000"/>
          <w:szCs w:val="24"/>
        </w:rPr>
      </w:pPr>
      <w:r w:rsidR="006E07BE">
        <w:rPr>
          <w:bCs/>
          <w:caps/>
          <w:color w:val="000000"/>
          <w:szCs w:val="24"/>
        </w:rPr>
        <w:t>3</w:t>
      </w:r>
      <w:r w:rsidR="006E07BE">
        <w:rPr>
          <w:bCs/>
          <w:caps/>
          <w:color w:val="000000"/>
          <w:szCs w:val="24"/>
        </w:rPr>
        <w:t xml:space="preserve">. </w:t>
      </w:r>
      <w:r w:rsidR="006E07BE">
        <w:rPr>
          <w:bCs/>
          <w:color w:val="000000"/>
          <w:szCs w:val="24"/>
        </w:rPr>
        <w:t>Pakeičiu IV skyriaus lentelės 3 punktą ir jį išdėstau taip:</w:t>
      </w:r>
    </w:p>
    <w:p w14:paraId="3863F34D" w14:textId="46DB37D6" w:rsidR="006E07BE" w:rsidRDefault="006E07BE">
      <w:pPr>
        <w:tabs>
          <w:tab w:val="left" w:pos="426"/>
        </w:tabs>
        <w:suppressAutoHyphens/>
        <w:spacing w:line="283" w:lineRule="auto"/>
        <w:ind w:firstLine="426"/>
        <w:jc w:val="both"/>
        <w:textAlignment w:val="center"/>
        <w:rPr>
          <w:bCs/>
          <w:caps/>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060"/>
      </w:tblGrid>
      <w:tr w:rsidR="00B91B1E" w14:paraId="529DFB72" w14:textId="77777777">
        <w:tc>
          <w:tcPr>
            <w:tcW w:w="709" w:type="dxa"/>
          </w:tcPr>
          <w:p w14:paraId="529DFB62" w14:textId="77777777" w:rsidR="00B91B1E" w:rsidRDefault="006E07BE">
            <w:pPr>
              <w:suppressAutoHyphens/>
              <w:spacing w:line="283" w:lineRule="auto"/>
              <w:jc w:val="both"/>
              <w:textAlignment w:val="center"/>
              <w:rPr>
                <w:rFonts w:eastAsia="Calibri"/>
                <w:bCs/>
                <w:color w:val="000000"/>
                <w:szCs w:val="24"/>
              </w:rPr>
            </w:pPr>
            <w:r>
              <w:rPr>
                <w:rFonts w:eastAsia="Calibri"/>
                <w:bCs/>
                <w:color w:val="000000"/>
                <w:szCs w:val="24"/>
              </w:rPr>
              <w:t>3.</w:t>
            </w:r>
          </w:p>
        </w:tc>
        <w:tc>
          <w:tcPr>
            <w:tcW w:w="2835" w:type="dxa"/>
          </w:tcPr>
          <w:p w14:paraId="529DFB63" w14:textId="77777777" w:rsidR="00B91B1E" w:rsidRDefault="006E07BE">
            <w:pPr>
              <w:suppressAutoHyphens/>
              <w:textAlignment w:val="center"/>
              <w:rPr>
                <w:rFonts w:eastAsia="Calibri"/>
                <w:color w:val="000000"/>
                <w:szCs w:val="24"/>
              </w:rPr>
            </w:pPr>
            <w:r>
              <w:rPr>
                <w:rFonts w:eastAsia="Calibri"/>
                <w:color w:val="000000"/>
                <w:szCs w:val="24"/>
              </w:rPr>
              <w:t>Viešojo naudojimo pastatai</w:t>
            </w:r>
          </w:p>
          <w:p w14:paraId="529DFB64" w14:textId="77777777" w:rsidR="00B91B1E" w:rsidRDefault="00B91B1E">
            <w:pPr>
              <w:suppressAutoHyphens/>
              <w:spacing w:line="283" w:lineRule="auto"/>
              <w:jc w:val="both"/>
              <w:textAlignment w:val="center"/>
              <w:rPr>
                <w:rFonts w:eastAsia="Calibri"/>
                <w:bCs/>
                <w:color w:val="000000"/>
                <w:szCs w:val="24"/>
              </w:rPr>
            </w:pPr>
          </w:p>
        </w:tc>
        <w:tc>
          <w:tcPr>
            <w:tcW w:w="6060" w:type="dxa"/>
          </w:tcPr>
          <w:p w14:paraId="529DFB65" w14:textId="77777777" w:rsidR="00B91B1E" w:rsidRDefault="006E07BE">
            <w:pPr>
              <w:suppressAutoHyphens/>
              <w:textAlignment w:val="center"/>
              <w:rPr>
                <w:color w:val="000000"/>
                <w:szCs w:val="24"/>
              </w:rPr>
            </w:pPr>
            <w:r>
              <w:rPr>
                <w:color w:val="000000"/>
                <w:szCs w:val="24"/>
              </w:rPr>
              <w:t>20 m ir aukštesni</w:t>
            </w:r>
          </w:p>
          <w:p w14:paraId="529DFB66" w14:textId="77777777" w:rsidR="00B91B1E" w:rsidRDefault="00B91B1E">
            <w:pPr>
              <w:suppressAutoHyphens/>
              <w:textAlignment w:val="center"/>
              <w:rPr>
                <w:strike/>
                <w:color w:val="000000"/>
                <w:szCs w:val="24"/>
              </w:rPr>
            </w:pPr>
          </w:p>
          <w:p w14:paraId="529DFB67" w14:textId="77777777" w:rsidR="00B91B1E" w:rsidRDefault="006E07BE">
            <w:pPr>
              <w:suppressAutoHyphens/>
              <w:textAlignment w:val="center"/>
              <w:rPr>
                <w:color w:val="000000"/>
                <w:szCs w:val="24"/>
              </w:rPr>
            </w:pPr>
            <w:r>
              <w:rPr>
                <w:color w:val="000000"/>
                <w:szCs w:val="24"/>
              </w:rPr>
              <w:t xml:space="preserve">įgilinti 7 m ir daugiau, skaičiuojant nuo pastatu užimamo žemės paviršiaus vidutinės </w:t>
            </w:r>
            <w:proofErr w:type="spellStart"/>
            <w:r>
              <w:rPr>
                <w:color w:val="000000"/>
                <w:szCs w:val="24"/>
              </w:rPr>
              <w:t>altitudės</w:t>
            </w:r>
            <w:proofErr w:type="spellEnd"/>
          </w:p>
          <w:p w14:paraId="529DFB68" w14:textId="77777777" w:rsidR="00B91B1E" w:rsidRDefault="00B91B1E">
            <w:pPr>
              <w:suppressAutoHyphens/>
              <w:textAlignment w:val="center"/>
              <w:rPr>
                <w:b/>
                <w:color w:val="000000"/>
                <w:szCs w:val="24"/>
              </w:rPr>
            </w:pPr>
          </w:p>
          <w:p w14:paraId="529DFB69" w14:textId="77777777" w:rsidR="00B91B1E" w:rsidRDefault="006E07BE">
            <w:pPr>
              <w:suppressAutoHyphens/>
              <w:textAlignment w:val="center"/>
              <w:rPr>
                <w:color w:val="000000"/>
                <w:szCs w:val="24"/>
              </w:rPr>
            </w:pPr>
            <w:proofErr w:type="spellStart"/>
            <w:r>
              <w:rPr>
                <w:color w:val="000000"/>
                <w:szCs w:val="24"/>
              </w:rPr>
              <w:t>konsolinių</w:t>
            </w:r>
            <w:proofErr w:type="spellEnd"/>
            <w:r>
              <w:rPr>
                <w:color w:val="000000"/>
                <w:szCs w:val="24"/>
              </w:rPr>
              <w:t xml:space="preserve"> pastato dalių laikančiosios konstrukcijos, išsikišančios nuo fasado plokštumos daugiau kaip 3 m</w:t>
            </w:r>
          </w:p>
          <w:p w14:paraId="529DFB6A" w14:textId="77777777" w:rsidR="00B91B1E" w:rsidRDefault="00B91B1E">
            <w:pPr>
              <w:suppressAutoHyphens/>
              <w:textAlignment w:val="center"/>
              <w:rPr>
                <w:color w:val="000000"/>
                <w:szCs w:val="24"/>
              </w:rPr>
            </w:pPr>
          </w:p>
          <w:p w14:paraId="529DFB6B" w14:textId="77777777" w:rsidR="00B91B1E" w:rsidRDefault="006E07BE">
            <w:pPr>
              <w:suppressAutoHyphens/>
              <w:textAlignment w:val="center"/>
              <w:rPr>
                <w:color w:val="000000"/>
                <w:szCs w:val="24"/>
              </w:rPr>
            </w:pPr>
            <w:r>
              <w:rPr>
                <w:color w:val="000000"/>
                <w:szCs w:val="24"/>
              </w:rPr>
              <w:t>kai pastate montuojamos ilgesnės kaip 12 m tarp atramų (angos) laikančiosios konstrukcijos, gaminamos pagal statinio projektą</w:t>
            </w:r>
          </w:p>
          <w:p w14:paraId="529DFB6C" w14:textId="77777777" w:rsidR="00B91B1E" w:rsidRDefault="00B91B1E">
            <w:pPr>
              <w:suppressAutoHyphens/>
              <w:textAlignment w:val="center"/>
              <w:rPr>
                <w:color w:val="000000"/>
                <w:szCs w:val="24"/>
              </w:rPr>
            </w:pPr>
          </w:p>
          <w:p w14:paraId="529DFB6D" w14:textId="77777777" w:rsidR="00B91B1E" w:rsidRDefault="006E07BE">
            <w:pPr>
              <w:suppressAutoHyphens/>
              <w:textAlignment w:val="center"/>
              <w:rPr>
                <w:color w:val="000000"/>
                <w:szCs w:val="24"/>
              </w:rPr>
            </w:pPr>
            <w:r>
              <w:rPr>
                <w:color w:val="000000"/>
                <w:szCs w:val="24"/>
              </w:rPr>
              <w:t>kai pastate montuojamos ilgesnės kaip 18 m tarp atramų (angos) laikančiosios konstrukcijos, kurios teisės aktų nustatyta tvarka tiekiamos Lietuvos Respublikos rinkai kaip statybos produktai</w:t>
            </w:r>
          </w:p>
          <w:p w14:paraId="529DFB6E" w14:textId="77777777" w:rsidR="00B91B1E" w:rsidRDefault="00B91B1E">
            <w:pPr>
              <w:suppressAutoHyphens/>
              <w:textAlignment w:val="center"/>
              <w:rPr>
                <w:color w:val="000000"/>
                <w:szCs w:val="24"/>
              </w:rPr>
            </w:pPr>
          </w:p>
          <w:p w14:paraId="529DFB6F" w14:textId="77777777" w:rsidR="00B91B1E" w:rsidRDefault="006E07BE">
            <w:pPr>
              <w:suppressAutoHyphens/>
              <w:textAlignment w:val="center"/>
              <w:rPr>
                <w:color w:val="000000"/>
                <w:szCs w:val="24"/>
              </w:rPr>
            </w:pPr>
            <w:r>
              <w:rPr>
                <w:color w:val="000000"/>
                <w:szCs w:val="24"/>
              </w:rPr>
              <w:t>esami pastatai, kurių laikančiosios konstrukcijos tarp atramų (angos) ilgesnės kaip 12 m</w:t>
            </w:r>
          </w:p>
          <w:p w14:paraId="529DFB70" w14:textId="77777777" w:rsidR="00B91B1E" w:rsidRDefault="00B91B1E">
            <w:pPr>
              <w:suppressAutoHyphens/>
              <w:textAlignment w:val="center"/>
              <w:rPr>
                <w:color w:val="000000"/>
                <w:szCs w:val="24"/>
              </w:rPr>
            </w:pPr>
          </w:p>
          <w:p w14:paraId="529DFB71" w14:textId="331D71CA" w:rsidR="00B91B1E" w:rsidRDefault="006E07BE">
            <w:pPr>
              <w:tabs>
                <w:tab w:val="left" w:pos="426"/>
              </w:tabs>
              <w:suppressAutoHyphens/>
              <w:spacing w:line="283" w:lineRule="auto"/>
              <w:jc w:val="both"/>
              <w:textAlignment w:val="center"/>
              <w:rPr>
                <w:rFonts w:eastAsia="Calibri"/>
                <w:bCs/>
                <w:color w:val="000000"/>
                <w:szCs w:val="24"/>
              </w:rPr>
            </w:pPr>
            <w:r>
              <w:rPr>
                <w:color w:val="000000"/>
                <w:szCs w:val="24"/>
              </w:rPr>
              <w:t>pastato bendras plotas didesnis kaip 2000 m</w:t>
            </w:r>
            <w:r>
              <w:rPr>
                <w:color w:val="000000"/>
                <w:szCs w:val="24"/>
                <w:vertAlign w:val="superscript"/>
              </w:rPr>
              <w:t>2</w:t>
            </w:r>
          </w:p>
        </w:tc>
      </w:tr>
    </w:tbl>
    <w:p w14:paraId="529DFB73" w14:textId="2B89483A" w:rsidR="00B91B1E" w:rsidRDefault="00C951A3">
      <w:pPr>
        <w:suppressAutoHyphens/>
        <w:spacing w:line="283" w:lineRule="auto"/>
        <w:ind w:firstLine="312"/>
        <w:jc w:val="both"/>
        <w:textAlignment w:val="center"/>
        <w:rPr>
          <w:bCs/>
          <w:color w:val="000000"/>
          <w:szCs w:val="24"/>
        </w:rPr>
      </w:pPr>
      <w:r w:rsidR="006E07BE">
        <w:rPr>
          <w:bCs/>
          <w:caps/>
          <w:color w:val="000000"/>
          <w:szCs w:val="24"/>
        </w:rPr>
        <w:t>4</w:t>
      </w:r>
      <w:r w:rsidR="006E07BE">
        <w:rPr>
          <w:bCs/>
          <w:caps/>
          <w:color w:val="000000"/>
          <w:szCs w:val="24"/>
        </w:rPr>
        <w:t xml:space="preserve">. </w:t>
      </w:r>
      <w:r w:rsidR="006E07BE">
        <w:rPr>
          <w:bCs/>
          <w:color w:val="000000"/>
          <w:szCs w:val="24"/>
        </w:rPr>
        <w:t>Pakeičiu IV skyriaus lentelės 9 punktą ir jį išdėstau taip:</w:t>
      </w:r>
    </w:p>
    <w:p w14:paraId="62F9DBCA" w14:textId="2E426438" w:rsidR="006E07BE" w:rsidRDefault="006E07BE">
      <w:pPr>
        <w:suppressAutoHyphens/>
        <w:spacing w:line="283" w:lineRule="auto"/>
        <w:ind w:firstLine="312"/>
        <w:jc w:val="both"/>
        <w:textAlignment w:val="center"/>
        <w:rPr>
          <w:bCs/>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060"/>
      </w:tblGrid>
      <w:tr w:rsidR="00B91B1E" w14:paraId="529DFB7F" w14:textId="77777777">
        <w:tc>
          <w:tcPr>
            <w:tcW w:w="709" w:type="dxa"/>
          </w:tcPr>
          <w:p w14:paraId="529DFB74" w14:textId="77777777" w:rsidR="00B91B1E" w:rsidRDefault="006E07BE">
            <w:pPr>
              <w:suppressAutoHyphens/>
              <w:jc w:val="both"/>
              <w:rPr>
                <w:rFonts w:eastAsia="Calibri"/>
                <w:lang w:eastAsia="lt-LT"/>
              </w:rPr>
            </w:pPr>
            <w:r>
              <w:rPr>
                <w:rFonts w:eastAsia="Calibri"/>
                <w:lang w:eastAsia="lt-LT"/>
              </w:rPr>
              <w:t>5.</w:t>
            </w:r>
          </w:p>
        </w:tc>
        <w:tc>
          <w:tcPr>
            <w:tcW w:w="2835" w:type="dxa"/>
          </w:tcPr>
          <w:p w14:paraId="529DFB75" w14:textId="77777777" w:rsidR="00B91B1E" w:rsidRDefault="006E07BE">
            <w:pPr>
              <w:suppressAutoHyphens/>
              <w:rPr>
                <w:rFonts w:eastAsia="Calibri"/>
                <w:lang w:eastAsia="lt-LT"/>
              </w:rPr>
            </w:pPr>
            <w:r>
              <w:rPr>
                <w:rFonts w:eastAsia="Calibri"/>
                <w:lang w:eastAsia="lt-LT"/>
              </w:rPr>
              <w:t>Kelio statiniai: tiltai, viadukai, estakados, tuneliai, požeminės ir virš žemės esančios pėsčiųjų perėjos</w:t>
            </w:r>
          </w:p>
        </w:tc>
        <w:tc>
          <w:tcPr>
            <w:tcW w:w="6060" w:type="dxa"/>
          </w:tcPr>
          <w:p w14:paraId="529DFB76" w14:textId="77777777" w:rsidR="00B91B1E" w:rsidRDefault="006E07BE">
            <w:pPr>
              <w:suppressAutoHyphens/>
              <w:jc w:val="both"/>
              <w:rPr>
                <w:rFonts w:eastAsia="Calibri"/>
                <w:lang w:eastAsia="lt-LT"/>
              </w:rPr>
            </w:pPr>
            <w:r>
              <w:rPr>
                <w:rFonts w:eastAsia="Calibri"/>
                <w:lang w:eastAsia="lt-LT"/>
              </w:rPr>
              <w:t>kurių konstrukcijos nuo žemės (vandens) paviršiaus konstrukcijų įrengimo vietose įgilintos daugiau kaip 7 m</w:t>
            </w:r>
          </w:p>
          <w:p w14:paraId="529DFB77" w14:textId="77777777" w:rsidR="00B91B1E" w:rsidRDefault="00B91B1E">
            <w:pPr>
              <w:suppressAutoHyphens/>
              <w:jc w:val="both"/>
              <w:rPr>
                <w:rFonts w:eastAsia="Calibri"/>
                <w:lang w:eastAsia="lt-LT"/>
              </w:rPr>
            </w:pPr>
          </w:p>
          <w:p w14:paraId="529DFB78" w14:textId="77777777" w:rsidR="00B91B1E" w:rsidRDefault="006E07BE">
            <w:pPr>
              <w:suppressAutoHyphens/>
              <w:jc w:val="both"/>
              <w:rPr>
                <w:rFonts w:eastAsia="Calibri"/>
                <w:lang w:eastAsia="lt-LT"/>
              </w:rPr>
            </w:pPr>
            <w:r>
              <w:rPr>
                <w:rFonts w:eastAsia="Calibri"/>
                <w:lang w:eastAsia="lt-LT"/>
              </w:rPr>
              <w:t xml:space="preserve">kai statinyje montuojamos ilgesnės kaip 12 m tarp atramų (angos) laikančiosios konstrukcijos, gaminamos pagal </w:t>
            </w:r>
            <w:r>
              <w:rPr>
                <w:rFonts w:eastAsia="Calibri"/>
                <w:lang w:eastAsia="lt-LT"/>
              </w:rPr>
              <w:lastRenderedPageBreak/>
              <w:t>statinio projektą</w:t>
            </w:r>
          </w:p>
          <w:p w14:paraId="529DFB79" w14:textId="77777777" w:rsidR="00B91B1E" w:rsidRDefault="00B91B1E">
            <w:pPr>
              <w:suppressAutoHyphens/>
              <w:jc w:val="both"/>
              <w:rPr>
                <w:rFonts w:eastAsia="Calibri"/>
                <w:strike/>
                <w:lang w:eastAsia="lt-LT"/>
              </w:rPr>
            </w:pPr>
          </w:p>
          <w:p w14:paraId="529DFB7A" w14:textId="77777777" w:rsidR="00B91B1E" w:rsidRDefault="006E07BE">
            <w:pPr>
              <w:suppressAutoHyphens/>
              <w:jc w:val="both"/>
              <w:rPr>
                <w:rFonts w:eastAsia="Calibri"/>
                <w:lang w:eastAsia="lt-LT"/>
              </w:rPr>
            </w:pPr>
            <w:r>
              <w:rPr>
                <w:rFonts w:eastAsia="Calibri"/>
                <w:lang w:eastAsia="lt-LT"/>
              </w:rPr>
              <w:t>kai statinyje montuojamos ilgesnės kaip 18 m tarp atramų (angos) laikančiosios konstrukcijos, kurios teisės aktų nustatyta tvarka tiekiamos Lietuvos Respublikos rinkai kaip statybos produktai</w:t>
            </w:r>
          </w:p>
          <w:p w14:paraId="529DFB7B" w14:textId="77777777" w:rsidR="00B91B1E" w:rsidRDefault="00B91B1E">
            <w:pPr>
              <w:suppressAutoHyphens/>
              <w:jc w:val="both"/>
              <w:rPr>
                <w:rFonts w:eastAsia="Calibri"/>
                <w:lang w:eastAsia="lt-LT"/>
              </w:rPr>
            </w:pPr>
          </w:p>
          <w:p w14:paraId="529DFB7C" w14:textId="77777777" w:rsidR="00B91B1E" w:rsidRDefault="006E07BE">
            <w:pPr>
              <w:suppressAutoHyphens/>
              <w:jc w:val="both"/>
              <w:rPr>
                <w:rFonts w:eastAsia="Calibri"/>
                <w:lang w:eastAsia="lt-LT"/>
              </w:rPr>
            </w:pPr>
            <w:r>
              <w:rPr>
                <w:rFonts w:eastAsia="Calibri"/>
                <w:lang w:eastAsia="lt-LT"/>
              </w:rPr>
              <w:t>esami statiniai, kurių laikančiosios konstrukcijos tarp atramų (angos) ilgesnės kaip 12 m</w:t>
            </w:r>
          </w:p>
          <w:p w14:paraId="529DFB7D" w14:textId="77777777" w:rsidR="00B91B1E" w:rsidRDefault="00B91B1E">
            <w:pPr>
              <w:suppressAutoHyphens/>
              <w:jc w:val="both"/>
              <w:rPr>
                <w:rFonts w:eastAsia="Calibri"/>
                <w:lang w:eastAsia="lt-LT"/>
              </w:rPr>
            </w:pPr>
          </w:p>
          <w:p w14:paraId="529DFB7E" w14:textId="0714E73B" w:rsidR="00B91B1E" w:rsidRDefault="006E07BE">
            <w:pPr>
              <w:suppressAutoHyphens/>
              <w:jc w:val="both"/>
              <w:rPr>
                <w:rFonts w:eastAsia="Calibri"/>
                <w:lang w:eastAsia="lt-LT"/>
              </w:rPr>
            </w:pPr>
            <w:r>
              <w:rPr>
                <w:rFonts w:eastAsia="Calibri"/>
                <w:lang w:eastAsia="lt-LT"/>
              </w:rPr>
              <w:t>20 m ir aukštesni</w:t>
            </w:r>
          </w:p>
        </w:tc>
      </w:tr>
    </w:tbl>
    <w:p w14:paraId="771E5A83" w14:textId="1D990488" w:rsidR="006E07BE" w:rsidRDefault="00C951A3">
      <w:pPr>
        <w:suppressAutoHyphens/>
        <w:spacing w:line="283" w:lineRule="auto"/>
        <w:ind w:firstLine="312"/>
        <w:jc w:val="both"/>
        <w:textAlignment w:val="center"/>
        <w:rPr>
          <w:bCs/>
          <w:color w:val="000000"/>
          <w:szCs w:val="24"/>
        </w:rPr>
      </w:pPr>
      <w:r w:rsidR="006E07BE">
        <w:rPr>
          <w:bCs/>
          <w:caps/>
          <w:color w:val="000000"/>
          <w:szCs w:val="24"/>
        </w:rPr>
        <w:t>5</w:t>
      </w:r>
      <w:r w:rsidR="006E07BE">
        <w:rPr>
          <w:bCs/>
          <w:caps/>
          <w:color w:val="000000"/>
          <w:szCs w:val="24"/>
        </w:rPr>
        <w:t xml:space="preserve">. </w:t>
      </w:r>
      <w:r w:rsidR="006E07BE">
        <w:rPr>
          <w:bCs/>
          <w:color w:val="000000"/>
          <w:szCs w:val="24"/>
        </w:rPr>
        <w:t>Pakeičiu IV skyriaus lentelės 11 punktą ir jį išdėstau taip:</w:t>
      </w:r>
    </w:p>
    <w:p w14:paraId="440B7BA1" w14:textId="32E65D79" w:rsidR="006E07BE" w:rsidRDefault="006E07BE">
      <w:pPr>
        <w:suppressAutoHyphens/>
        <w:spacing w:line="283" w:lineRule="auto"/>
        <w:ind w:firstLine="312"/>
        <w:jc w:val="both"/>
        <w:textAlignment w:val="center"/>
        <w:rPr>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6060"/>
      </w:tblGrid>
      <w:tr w:rsidR="00B91B1E" w14:paraId="529DFB86" w14:textId="77777777">
        <w:tc>
          <w:tcPr>
            <w:tcW w:w="817" w:type="dxa"/>
          </w:tcPr>
          <w:p w14:paraId="529DFB81" w14:textId="77777777" w:rsidR="00B91B1E" w:rsidRDefault="006E07BE">
            <w:pPr>
              <w:suppressAutoHyphens/>
              <w:spacing w:line="283" w:lineRule="auto"/>
              <w:jc w:val="both"/>
              <w:textAlignment w:val="center"/>
              <w:rPr>
                <w:rFonts w:eastAsia="Calibri"/>
                <w:bCs/>
                <w:color w:val="000000"/>
                <w:szCs w:val="24"/>
              </w:rPr>
            </w:pPr>
            <w:r>
              <w:rPr>
                <w:rFonts w:eastAsia="Calibri"/>
                <w:bCs/>
                <w:color w:val="000000"/>
                <w:szCs w:val="24"/>
              </w:rPr>
              <w:t>11.</w:t>
            </w:r>
          </w:p>
        </w:tc>
        <w:tc>
          <w:tcPr>
            <w:tcW w:w="2835" w:type="dxa"/>
          </w:tcPr>
          <w:p w14:paraId="529DFB82" w14:textId="77777777" w:rsidR="00B91B1E" w:rsidRDefault="006E07BE">
            <w:pPr>
              <w:suppressAutoHyphens/>
              <w:spacing w:line="283" w:lineRule="auto"/>
              <w:jc w:val="both"/>
              <w:textAlignment w:val="center"/>
              <w:rPr>
                <w:rFonts w:eastAsia="Calibri"/>
                <w:bCs/>
                <w:color w:val="000000"/>
                <w:szCs w:val="24"/>
              </w:rPr>
            </w:pPr>
            <w:r>
              <w:rPr>
                <w:rFonts w:eastAsia="Calibri"/>
                <w:bCs/>
                <w:color w:val="000000"/>
                <w:szCs w:val="24"/>
              </w:rPr>
              <w:t>Inžineriniai tinklai</w:t>
            </w:r>
          </w:p>
        </w:tc>
        <w:tc>
          <w:tcPr>
            <w:tcW w:w="6060" w:type="dxa"/>
          </w:tcPr>
          <w:p w14:paraId="529DFB83" w14:textId="77777777" w:rsidR="00B91B1E" w:rsidRDefault="006E07BE">
            <w:pPr>
              <w:suppressAutoHyphens/>
              <w:textAlignment w:val="center"/>
              <w:rPr>
                <w:rFonts w:eastAsia="Calibri"/>
                <w:bCs/>
                <w:color w:val="000000"/>
                <w:szCs w:val="24"/>
              </w:rPr>
            </w:pPr>
            <w:r>
              <w:rPr>
                <w:rFonts w:eastAsia="Calibri"/>
                <w:bCs/>
                <w:color w:val="000000"/>
                <w:szCs w:val="24"/>
              </w:rPr>
              <w:t>magistraliniai šilumos tiekimo tinklai didesnio kaip 16 bar slėgio, kurių vidinis skersmuo didesnis kaip 100 mm su priklausiniais, magistraliniai dujotiekiai, skirstomieji dujotiekiai, kurių slėgio (bar) ir skersmens (mm) sandauga lygi arba didesnė kaip 3500, magistraliniai naftotiekiai (</w:t>
            </w:r>
            <w:proofErr w:type="spellStart"/>
            <w:r>
              <w:rPr>
                <w:rFonts w:eastAsia="Calibri"/>
                <w:bCs/>
                <w:color w:val="000000"/>
                <w:szCs w:val="24"/>
              </w:rPr>
              <w:t>produktotiekiai</w:t>
            </w:r>
            <w:proofErr w:type="spellEnd"/>
            <w:r>
              <w:rPr>
                <w:rFonts w:eastAsia="Calibri"/>
                <w:bCs/>
                <w:color w:val="000000"/>
                <w:szCs w:val="24"/>
              </w:rPr>
              <w:t>) su priklausiniais, elektros tinklai 110 KV ir aukštesnės įtampos su priklausiniais, magistraliniai vandentiekio tinklai, nuotekų tinklų kolektoriai, kurių vidinis skersmuo didesnis kaip 500 mm</w:t>
            </w:r>
          </w:p>
          <w:p w14:paraId="529DFB84" w14:textId="77777777" w:rsidR="00B91B1E" w:rsidRDefault="00B91B1E">
            <w:pPr>
              <w:suppressAutoHyphens/>
              <w:spacing w:line="283" w:lineRule="auto"/>
              <w:textAlignment w:val="center"/>
              <w:rPr>
                <w:rFonts w:eastAsia="Calibri"/>
                <w:bCs/>
                <w:color w:val="000000"/>
                <w:szCs w:val="24"/>
              </w:rPr>
            </w:pPr>
          </w:p>
          <w:p w14:paraId="529DFB85" w14:textId="60CC6DB1" w:rsidR="00B91B1E" w:rsidRDefault="006E07BE">
            <w:pPr>
              <w:suppressAutoHyphens/>
              <w:textAlignment w:val="center"/>
              <w:rPr>
                <w:rFonts w:eastAsia="Calibri"/>
                <w:bCs/>
                <w:color w:val="000000"/>
                <w:szCs w:val="24"/>
              </w:rPr>
            </w:pPr>
            <w:r>
              <w:rPr>
                <w:rFonts w:eastAsia="Calibri"/>
                <w:bCs/>
                <w:color w:val="000000"/>
                <w:szCs w:val="24"/>
              </w:rPr>
              <w:t>visi vamzdynai didžiąją savo dalimi tiesiami giliau kaip 3 m po vandeniu ir visi inžineriniai tinklai didžiąją savo dalimi įgilinti daugiau kaip 7 m, skaičiuojant nuo žemės ar vandens paviršiaus konkrečiose tiesimo vietose iki vamzdyno ar inžinerinio tinklo konstrukcijos apačios</w:t>
            </w:r>
          </w:p>
        </w:tc>
      </w:tr>
    </w:tbl>
    <w:p w14:paraId="529DFB87" w14:textId="6E6190B5" w:rsidR="00B91B1E" w:rsidRDefault="00C951A3">
      <w:pPr>
        <w:suppressAutoHyphens/>
        <w:spacing w:line="283" w:lineRule="auto"/>
        <w:ind w:firstLine="312"/>
        <w:jc w:val="both"/>
        <w:textAlignment w:val="center"/>
        <w:rPr>
          <w:bCs/>
          <w:color w:val="000000"/>
          <w:szCs w:val="24"/>
        </w:rPr>
      </w:pPr>
      <w:r w:rsidR="006E07BE">
        <w:rPr>
          <w:bCs/>
          <w:caps/>
          <w:color w:val="000000"/>
          <w:szCs w:val="24"/>
        </w:rPr>
        <w:t>6</w:t>
      </w:r>
      <w:r w:rsidR="006E07BE">
        <w:rPr>
          <w:bCs/>
          <w:caps/>
          <w:color w:val="000000"/>
          <w:szCs w:val="24"/>
        </w:rPr>
        <w:t xml:space="preserve">. </w:t>
      </w:r>
      <w:r w:rsidR="006E07BE">
        <w:rPr>
          <w:bCs/>
          <w:color w:val="000000"/>
          <w:szCs w:val="24"/>
        </w:rPr>
        <w:t>Pakeičiu IV skyriaus lentelės 19 punktą ir jį išdėstau taip:</w:t>
      </w:r>
    </w:p>
    <w:p w14:paraId="6AC9D81F" w14:textId="7C374F90" w:rsidR="006E07BE" w:rsidRDefault="006E07BE">
      <w:pPr>
        <w:suppressAutoHyphens/>
        <w:spacing w:line="283" w:lineRule="auto"/>
        <w:ind w:firstLine="312"/>
        <w:jc w:val="both"/>
        <w:textAlignment w:val="center"/>
        <w:rPr>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6060"/>
      </w:tblGrid>
      <w:tr w:rsidR="00B91B1E" w14:paraId="529DFB8C" w14:textId="77777777">
        <w:tc>
          <w:tcPr>
            <w:tcW w:w="817" w:type="dxa"/>
          </w:tcPr>
          <w:p w14:paraId="529DFB88" w14:textId="77777777" w:rsidR="00B91B1E" w:rsidRDefault="006E07BE">
            <w:pPr>
              <w:suppressAutoHyphens/>
              <w:spacing w:line="283" w:lineRule="auto"/>
              <w:jc w:val="both"/>
              <w:textAlignment w:val="center"/>
              <w:rPr>
                <w:rFonts w:eastAsia="Calibri"/>
                <w:bCs/>
                <w:color w:val="000000"/>
                <w:szCs w:val="24"/>
              </w:rPr>
            </w:pPr>
            <w:r>
              <w:rPr>
                <w:rFonts w:eastAsia="Calibri"/>
                <w:bCs/>
                <w:color w:val="000000"/>
                <w:szCs w:val="24"/>
              </w:rPr>
              <w:t>19.</w:t>
            </w:r>
          </w:p>
        </w:tc>
        <w:tc>
          <w:tcPr>
            <w:tcW w:w="2835" w:type="dxa"/>
          </w:tcPr>
          <w:p w14:paraId="529DFB89" w14:textId="77777777" w:rsidR="00B91B1E" w:rsidRDefault="006E07BE">
            <w:pPr>
              <w:suppressAutoHyphens/>
              <w:spacing w:line="283" w:lineRule="auto"/>
              <w:textAlignment w:val="center"/>
              <w:rPr>
                <w:rFonts w:eastAsia="Calibri"/>
                <w:bCs/>
                <w:color w:val="000000"/>
                <w:szCs w:val="24"/>
              </w:rPr>
            </w:pPr>
            <w:r>
              <w:rPr>
                <w:rFonts w:eastAsia="Calibri"/>
                <w:bCs/>
                <w:color w:val="000000"/>
                <w:szCs w:val="24"/>
              </w:rPr>
              <w:t>Sporto paskirties inžineriniai statiniai</w:t>
            </w:r>
          </w:p>
        </w:tc>
        <w:tc>
          <w:tcPr>
            <w:tcW w:w="6060" w:type="dxa"/>
          </w:tcPr>
          <w:p w14:paraId="529DFB8A" w14:textId="77777777" w:rsidR="00B91B1E" w:rsidRDefault="006E07BE">
            <w:pPr>
              <w:suppressAutoHyphens/>
              <w:jc w:val="both"/>
              <w:textAlignment w:val="center"/>
              <w:rPr>
                <w:rFonts w:eastAsia="Calibri"/>
                <w:bCs/>
                <w:color w:val="000000"/>
                <w:szCs w:val="24"/>
              </w:rPr>
            </w:pPr>
            <w:r>
              <w:rPr>
                <w:rFonts w:eastAsia="Calibri"/>
                <w:bCs/>
                <w:color w:val="000000"/>
                <w:szCs w:val="24"/>
              </w:rPr>
              <w:t>kuriuose įrengta daugiau kaip 1000 stacionarių vietų žiūrovams</w:t>
            </w:r>
          </w:p>
          <w:p w14:paraId="529DFB8B" w14:textId="28660F31" w:rsidR="00B91B1E" w:rsidRDefault="00C951A3">
            <w:pPr>
              <w:suppressAutoHyphens/>
              <w:jc w:val="both"/>
              <w:textAlignment w:val="center"/>
              <w:rPr>
                <w:rFonts w:eastAsia="Calibri"/>
                <w:bCs/>
                <w:color w:val="000000"/>
                <w:szCs w:val="24"/>
              </w:rPr>
            </w:pPr>
          </w:p>
        </w:tc>
      </w:tr>
    </w:tbl>
    <w:p w14:paraId="529DFB8D" w14:textId="4C04BF59" w:rsidR="00B91B1E" w:rsidRDefault="00C951A3">
      <w:pPr>
        <w:suppressAutoHyphens/>
        <w:spacing w:line="283" w:lineRule="auto"/>
        <w:ind w:firstLine="312"/>
        <w:jc w:val="both"/>
        <w:textAlignment w:val="center"/>
        <w:rPr>
          <w:bCs/>
          <w:color w:val="000000"/>
          <w:szCs w:val="24"/>
        </w:rPr>
      </w:pPr>
      <w:r w:rsidR="006E07BE">
        <w:rPr>
          <w:bCs/>
          <w:color w:val="000000"/>
          <w:szCs w:val="24"/>
        </w:rPr>
        <w:t>7</w:t>
      </w:r>
      <w:r w:rsidR="006E07BE">
        <w:rPr>
          <w:bCs/>
          <w:color w:val="000000"/>
          <w:szCs w:val="24"/>
        </w:rPr>
        <w:t>. Pakeičiu IV skyriaus lentelės 20 punktą ir jį išdėstau taip:</w:t>
      </w:r>
    </w:p>
    <w:p w14:paraId="3C963CDE" w14:textId="3959C54A" w:rsidR="006E07BE" w:rsidRDefault="006E07BE">
      <w:pPr>
        <w:suppressAutoHyphens/>
        <w:spacing w:line="283" w:lineRule="auto"/>
        <w:ind w:firstLine="312"/>
        <w:jc w:val="both"/>
        <w:textAlignment w:val="center"/>
        <w:rPr>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6060"/>
      </w:tblGrid>
      <w:tr w:rsidR="00B91B1E" w14:paraId="529DFB91" w14:textId="77777777">
        <w:tc>
          <w:tcPr>
            <w:tcW w:w="817" w:type="dxa"/>
          </w:tcPr>
          <w:p w14:paraId="529DFB8E" w14:textId="77777777" w:rsidR="00B91B1E" w:rsidRDefault="006E07BE">
            <w:pPr>
              <w:suppressAutoHyphens/>
              <w:jc w:val="both"/>
              <w:rPr>
                <w:rFonts w:eastAsia="Calibri"/>
                <w:lang w:eastAsia="lt-LT"/>
              </w:rPr>
            </w:pPr>
            <w:r>
              <w:rPr>
                <w:rFonts w:eastAsia="Calibri"/>
                <w:lang w:eastAsia="lt-LT"/>
              </w:rPr>
              <w:t>20.</w:t>
            </w:r>
          </w:p>
        </w:tc>
        <w:tc>
          <w:tcPr>
            <w:tcW w:w="2835" w:type="dxa"/>
          </w:tcPr>
          <w:p w14:paraId="529DFB8F" w14:textId="77777777" w:rsidR="00B91B1E" w:rsidRDefault="006E07BE">
            <w:pPr>
              <w:suppressAutoHyphens/>
              <w:jc w:val="both"/>
              <w:rPr>
                <w:rFonts w:eastAsia="Calibri"/>
                <w:lang w:eastAsia="lt-LT"/>
              </w:rPr>
            </w:pPr>
            <w:r>
              <w:rPr>
                <w:rFonts w:eastAsia="Calibri"/>
                <w:lang w:eastAsia="lt-LT"/>
              </w:rPr>
              <w:t>Degalinių statiniai</w:t>
            </w:r>
          </w:p>
        </w:tc>
        <w:tc>
          <w:tcPr>
            <w:tcW w:w="6060" w:type="dxa"/>
          </w:tcPr>
          <w:p w14:paraId="529DFB90" w14:textId="77777777" w:rsidR="00B91B1E" w:rsidRDefault="006E07BE">
            <w:pPr>
              <w:suppressAutoHyphens/>
              <w:jc w:val="both"/>
              <w:rPr>
                <w:rFonts w:eastAsia="Calibri"/>
                <w:b/>
                <w:lang w:eastAsia="lt-LT"/>
              </w:rPr>
            </w:pPr>
            <w:r>
              <w:rPr>
                <w:rFonts w:eastAsia="Calibri"/>
                <w:lang w:eastAsia="lt-LT"/>
              </w:rPr>
              <w:t>visi statiniai, išskyrus teisės aktais priskiriamus nesudėtingiems</w:t>
            </w:r>
          </w:p>
        </w:tc>
      </w:tr>
    </w:tbl>
    <w:p w14:paraId="529DFB97" w14:textId="77777777" w:rsidR="00B91B1E" w:rsidRDefault="00B91B1E">
      <w:pPr>
        <w:suppressAutoHyphens/>
        <w:ind w:firstLine="567"/>
        <w:rPr>
          <w:lang w:eastAsia="lt-LT"/>
        </w:rPr>
      </w:pPr>
    </w:p>
    <w:p w14:paraId="65FAE4AA" w14:textId="77777777" w:rsidR="006E07BE" w:rsidRDefault="006E07BE">
      <w:pPr>
        <w:suppressAutoHyphens/>
        <w:ind w:firstLine="567"/>
        <w:rPr>
          <w:lang w:eastAsia="lt-LT"/>
        </w:rPr>
      </w:pPr>
      <w:bookmarkStart w:id="0" w:name="_GoBack"/>
      <w:bookmarkEnd w:id="0"/>
    </w:p>
    <w:p w14:paraId="529DFB98" w14:textId="0A752B24" w:rsidR="00B91B1E" w:rsidRDefault="00C951A3">
      <w:pPr>
        <w:suppressAutoHyphens/>
        <w:ind w:firstLine="567"/>
        <w:rPr>
          <w:lang w:eastAsia="lt-LT"/>
        </w:rPr>
      </w:pPr>
    </w:p>
    <w:p w14:paraId="4DE4516E" w14:textId="4AC01DEB" w:rsidR="006E07BE" w:rsidRDefault="006E07BE">
      <w:pPr>
        <w:tabs>
          <w:tab w:val="left" w:pos="4825"/>
        </w:tabs>
        <w:suppressAutoHyphens/>
        <w:ind w:left="8" w:right="34"/>
        <w:rPr>
          <w:lang w:eastAsia="lt-LT"/>
        </w:rPr>
      </w:pPr>
      <w:r>
        <w:rPr>
          <w:lang w:eastAsia="lt-LT"/>
        </w:rPr>
        <w:t>Aplinkos ministras</w:t>
      </w:r>
      <w:r>
        <w:rPr>
          <w:lang w:eastAsia="lt-LT"/>
        </w:rPr>
        <w:tab/>
      </w:r>
      <w:r>
        <w:rPr>
          <w:lang w:eastAsia="lt-LT"/>
        </w:rPr>
        <w:tab/>
      </w:r>
      <w:r>
        <w:rPr>
          <w:lang w:eastAsia="lt-LT"/>
        </w:rPr>
        <w:tab/>
      </w:r>
      <w:r>
        <w:rPr>
          <w:lang w:eastAsia="lt-LT"/>
        </w:rPr>
        <w:tab/>
      </w:r>
      <w:r>
        <w:rPr>
          <w:lang w:eastAsia="lt-LT"/>
        </w:rPr>
        <w:tab/>
        <w:t>Valentinas Mazuronis</w:t>
      </w:r>
    </w:p>
    <w:p w14:paraId="529DFBA8" w14:textId="35203073" w:rsidR="00B91B1E" w:rsidRDefault="00C951A3">
      <w:pPr>
        <w:suppressAutoHyphens/>
        <w:rPr>
          <w:lang w:eastAsia="lt-LT"/>
        </w:rPr>
      </w:pPr>
    </w:p>
    <w:sectPr w:rsidR="00B91B1E">
      <w:headerReference w:type="even" r:id="rId10"/>
      <w:footerReference w:type="even" r:id="rId11"/>
      <w:footerReference w:type="default" r:id="rId12"/>
      <w:headerReference w:type="first" r:id="rId13"/>
      <w:footerReference w:type="first" r:id="rId14"/>
      <w:footnotePr>
        <w:pos w:val="beneathText"/>
      </w:footnotePr>
      <w:type w:val="continuous"/>
      <w:pgSz w:w="11905" w:h="16837"/>
      <w:pgMar w:top="1809" w:right="708" w:bottom="1032"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FBAD" w14:textId="77777777" w:rsidR="00B91B1E" w:rsidRDefault="006E07BE">
      <w:pPr>
        <w:suppressAutoHyphens/>
        <w:rPr>
          <w:lang w:eastAsia="lt-LT"/>
        </w:rPr>
      </w:pPr>
      <w:r>
        <w:rPr>
          <w:lang w:eastAsia="lt-LT"/>
        </w:rPr>
        <w:separator/>
      </w:r>
    </w:p>
  </w:endnote>
  <w:endnote w:type="continuationSeparator" w:id="0">
    <w:p w14:paraId="529DFBAE" w14:textId="77777777" w:rsidR="00B91B1E" w:rsidRDefault="006E07BE">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DFBB1" w14:textId="77777777" w:rsidR="00B91B1E" w:rsidRDefault="00B91B1E">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DFBB2" w14:textId="77777777" w:rsidR="00B91B1E" w:rsidRDefault="00B91B1E">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DFBB4" w14:textId="77777777" w:rsidR="00B91B1E" w:rsidRDefault="00B91B1E">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FBAB" w14:textId="77777777" w:rsidR="00B91B1E" w:rsidRDefault="006E07BE">
      <w:pPr>
        <w:suppressAutoHyphens/>
        <w:rPr>
          <w:lang w:eastAsia="lt-LT"/>
        </w:rPr>
      </w:pPr>
      <w:r>
        <w:rPr>
          <w:lang w:eastAsia="lt-LT"/>
        </w:rPr>
        <w:separator/>
      </w:r>
    </w:p>
  </w:footnote>
  <w:footnote w:type="continuationSeparator" w:id="0">
    <w:p w14:paraId="529DFBAC" w14:textId="77777777" w:rsidR="00B91B1E" w:rsidRDefault="006E07BE">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DFBAF" w14:textId="77777777" w:rsidR="00B91B1E" w:rsidRDefault="00B91B1E">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DFBB3" w14:textId="77777777" w:rsidR="00B91B1E" w:rsidRDefault="00B91B1E">
    <w:pPr>
      <w:tabs>
        <w:tab w:val="center" w:pos="4153"/>
        <w:tab w:val="right" w:pos="9100"/>
      </w:tabs>
      <w:suppressAutoHyphens/>
      <w:rPr>
        <w:rFonts w:ascii="Tahoma" w:hAnsi="Tahoma"/>
        <w:spacing w:val="10"/>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2F96"/>
    <w:multiLevelType w:val="hybridMultilevel"/>
    <w:tmpl w:val="DB8C2BFA"/>
    <w:lvl w:ilvl="0" w:tplc="C5E2E9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46"/>
    <w:rsid w:val="003C7346"/>
    <w:rsid w:val="006E07BE"/>
    <w:rsid w:val="00B91B1E"/>
    <w:rsid w:val="00C951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E07BE"/>
    <w:rPr>
      <w:rFonts w:ascii="Tahoma" w:hAnsi="Tahoma" w:cs="Tahoma"/>
      <w:sz w:val="16"/>
      <w:szCs w:val="16"/>
    </w:rPr>
  </w:style>
  <w:style w:type="character" w:customStyle="1" w:styleId="DebesliotekstasDiagrama">
    <w:name w:val="Debesėlio tekstas Diagrama"/>
    <w:basedOn w:val="Numatytasispastraiposriftas"/>
    <w:link w:val="Debesliotekstas"/>
    <w:rsid w:val="006E07BE"/>
    <w:rPr>
      <w:rFonts w:ascii="Tahoma" w:hAnsi="Tahoma" w:cs="Tahoma"/>
      <w:sz w:val="16"/>
      <w:szCs w:val="16"/>
    </w:rPr>
  </w:style>
  <w:style w:type="paragraph" w:styleId="Sraopastraipa">
    <w:name w:val="List Paragraph"/>
    <w:basedOn w:val="prastasis"/>
    <w:rsid w:val="006E07BE"/>
    <w:pPr>
      <w:ind w:left="720"/>
      <w:contextualSpacing/>
    </w:pPr>
  </w:style>
  <w:style w:type="character" w:styleId="Vietosrezervavimoenklotekstas">
    <w:name w:val="Placeholder Text"/>
    <w:basedOn w:val="Numatytasispastraiposriftas"/>
    <w:rsid w:val="006E07BE"/>
    <w:rPr>
      <w:color w:val="808080"/>
    </w:rPr>
  </w:style>
  <w:style w:type="paragraph" w:styleId="Antrats">
    <w:name w:val="header"/>
    <w:basedOn w:val="prastasis"/>
    <w:link w:val="AntratsDiagrama"/>
    <w:rsid w:val="00C951A3"/>
    <w:pPr>
      <w:tabs>
        <w:tab w:val="center" w:pos="4819"/>
        <w:tab w:val="right" w:pos="9638"/>
      </w:tabs>
    </w:pPr>
  </w:style>
  <w:style w:type="character" w:customStyle="1" w:styleId="AntratsDiagrama">
    <w:name w:val="Antraštės Diagrama"/>
    <w:basedOn w:val="Numatytasispastraiposriftas"/>
    <w:link w:val="Antrats"/>
    <w:rsid w:val="00C95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E07BE"/>
    <w:rPr>
      <w:rFonts w:ascii="Tahoma" w:hAnsi="Tahoma" w:cs="Tahoma"/>
      <w:sz w:val="16"/>
      <w:szCs w:val="16"/>
    </w:rPr>
  </w:style>
  <w:style w:type="character" w:customStyle="1" w:styleId="DebesliotekstasDiagrama">
    <w:name w:val="Debesėlio tekstas Diagrama"/>
    <w:basedOn w:val="Numatytasispastraiposriftas"/>
    <w:link w:val="Debesliotekstas"/>
    <w:rsid w:val="006E07BE"/>
    <w:rPr>
      <w:rFonts w:ascii="Tahoma" w:hAnsi="Tahoma" w:cs="Tahoma"/>
      <w:sz w:val="16"/>
      <w:szCs w:val="16"/>
    </w:rPr>
  </w:style>
  <w:style w:type="paragraph" w:styleId="Sraopastraipa">
    <w:name w:val="List Paragraph"/>
    <w:basedOn w:val="prastasis"/>
    <w:rsid w:val="006E07BE"/>
    <w:pPr>
      <w:ind w:left="720"/>
      <w:contextualSpacing/>
    </w:pPr>
  </w:style>
  <w:style w:type="character" w:styleId="Vietosrezervavimoenklotekstas">
    <w:name w:val="Placeholder Text"/>
    <w:basedOn w:val="Numatytasispastraiposriftas"/>
    <w:rsid w:val="006E07BE"/>
    <w:rPr>
      <w:color w:val="808080"/>
    </w:rPr>
  </w:style>
  <w:style w:type="paragraph" w:styleId="Antrats">
    <w:name w:val="header"/>
    <w:basedOn w:val="prastasis"/>
    <w:link w:val="AntratsDiagrama"/>
    <w:rsid w:val="00C951A3"/>
    <w:pPr>
      <w:tabs>
        <w:tab w:val="center" w:pos="4819"/>
        <w:tab w:val="right" w:pos="9638"/>
      </w:tabs>
    </w:pPr>
  </w:style>
  <w:style w:type="character" w:customStyle="1" w:styleId="AntratsDiagrama">
    <w:name w:val="Antraštės Diagrama"/>
    <w:basedOn w:val="Numatytasispastraiposriftas"/>
    <w:link w:val="Antrats"/>
    <w:rsid w:val="00C9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B07EBA6-F73E-468E-9BD7-95C7C07F1364}"/>
      </w:docPartPr>
      <w:docPartBody>
        <w:p w14:paraId="1E0AF3ED" w14:textId="77777777" w:rsidR="003C20BB" w:rsidRDefault="00FE2A54">
          <w:r w:rsidRPr="001046D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54"/>
    <w:rsid w:val="003C20BB"/>
    <w:rsid w:val="00FE2A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1E0AF3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2A5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2A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3145</Words>
  <Characters>1793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&lt;Adresatas&gt;</vt:lpstr>
    </vt:vector>
  </TitlesOfParts>
  <Company>Aplinkos ministerija, Informacijos valdymo skyrius</Company>
  <LinksUpToDate>false</LinksUpToDate>
  <CharactersWithSpaces>4929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2014-03-27T13:12:00Z</dcterms:created>
  <dc:creator>v.linkiene</dc:creator>
  <lastModifiedBy>JUOSPONIENĖ Karolina</lastModifiedBy>
  <lastPrinted>2014-03-21T08:47:00Z</lastPrinted>
  <dcterms:modified xsi:type="dcterms:W3CDTF">2016-03-01T11:25:00Z</dcterms:modified>
  <revision>4</revision>
  <dc:title>&lt;Adresatas&gt;</dc:title>
</coreProperties>
</file>