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B9ADE" w14:textId="77777777" w:rsidR="00504EE2" w:rsidRDefault="00504EE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F5B9ADF" w14:textId="77777777" w:rsidR="00504EE2" w:rsidRDefault="00782527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F5B9B02" wp14:editId="6F5B9B0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B9AE0" w14:textId="77777777" w:rsidR="00504EE2" w:rsidRDefault="00504EE2">
      <w:pPr>
        <w:jc w:val="center"/>
        <w:rPr>
          <w:caps/>
          <w:sz w:val="12"/>
          <w:szCs w:val="12"/>
        </w:rPr>
      </w:pPr>
    </w:p>
    <w:p w14:paraId="6F5B9AE1" w14:textId="77777777" w:rsidR="00504EE2" w:rsidRDefault="00782527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6F5B9AE2" w14:textId="77777777" w:rsidR="00504EE2" w:rsidRDefault="00782527">
      <w:pPr>
        <w:jc w:val="center"/>
        <w:rPr>
          <w:b/>
          <w:caps/>
        </w:rPr>
      </w:pPr>
      <w:r>
        <w:rPr>
          <w:b/>
          <w:caps/>
        </w:rPr>
        <w:t>NARKOTINIŲ IR PSICHOTROPINIŲ MEDŽIAGŲ KONTROLĖS ĮSTATYMO NR. VIII-602 2, 3 STRAIPSNIŲ IR PRIEDO PAKEITIMO</w:t>
      </w:r>
    </w:p>
    <w:p w14:paraId="6F5B9AE3" w14:textId="77777777" w:rsidR="00504EE2" w:rsidRDefault="00782527">
      <w:pPr>
        <w:jc w:val="center"/>
        <w:rPr>
          <w:caps/>
        </w:rPr>
      </w:pPr>
      <w:r>
        <w:rPr>
          <w:b/>
          <w:caps/>
        </w:rPr>
        <w:t>ĮSTATYMAS</w:t>
      </w:r>
    </w:p>
    <w:p w14:paraId="6F5B9AE4" w14:textId="77777777" w:rsidR="00504EE2" w:rsidRDefault="00504EE2">
      <w:pPr>
        <w:jc w:val="center"/>
        <w:rPr>
          <w:b/>
          <w:caps/>
        </w:rPr>
      </w:pPr>
    </w:p>
    <w:p w14:paraId="6F5B9AE5" w14:textId="77777777" w:rsidR="00504EE2" w:rsidRDefault="00782527">
      <w:pPr>
        <w:jc w:val="center"/>
        <w:rPr>
          <w:szCs w:val="24"/>
        </w:rPr>
      </w:pPr>
      <w:r>
        <w:rPr>
          <w:szCs w:val="24"/>
        </w:rPr>
        <w:t>2018 m. lapkričio 20 d. Nr. XIII-1659</w:t>
      </w:r>
    </w:p>
    <w:p w14:paraId="6F5B9AE6" w14:textId="77777777" w:rsidR="00504EE2" w:rsidRDefault="00782527">
      <w:pPr>
        <w:jc w:val="center"/>
        <w:rPr>
          <w:szCs w:val="24"/>
        </w:rPr>
      </w:pPr>
      <w:r>
        <w:rPr>
          <w:szCs w:val="24"/>
        </w:rPr>
        <w:t>Vilnius</w:t>
      </w:r>
    </w:p>
    <w:p w14:paraId="6F5B9AE7" w14:textId="77777777" w:rsidR="00504EE2" w:rsidRDefault="00504EE2">
      <w:pPr>
        <w:jc w:val="center"/>
        <w:rPr>
          <w:sz w:val="22"/>
        </w:rPr>
      </w:pPr>
    </w:p>
    <w:p w14:paraId="6F5B9AE8" w14:textId="77777777" w:rsidR="00504EE2" w:rsidRDefault="00504EE2">
      <w:pPr>
        <w:spacing w:line="360" w:lineRule="auto"/>
        <w:ind w:firstLine="720"/>
        <w:jc w:val="both"/>
        <w:rPr>
          <w:sz w:val="16"/>
          <w:szCs w:val="16"/>
        </w:rPr>
      </w:pPr>
    </w:p>
    <w:p w14:paraId="6F5B9AE9" w14:textId="77777777" w:rsidR="00504EE2" w:rsidRDefault="00504EE2">
      <w:pPr>
        <w:spacing w:line="360" w:lineRule="auto"/>
        <w:ind w:firstLine="720"/>
        <w:jc w:val="both"/>
        <w:sectPr w:rsidR="00504E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6F5B9AEA" w14:textId="77777777" w:rsidR="00504EE2" w:rsidRDefault="00504EE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F5B9AEB" w14:textId="77777777" w:rsidR="00504EE2" w:rsidRDefault="00782527">
      <w:pPr>
        <w:spacing w:line="360" w:lineRule="auto"/>
        <w:ind w:firstLine="72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 xml:space="preserve"> straipsnis. </w:t>
      </w:r>
      <w:r>
        <w:rPr>
          <w:rFonts w:eastAsia="Calibri"/>
          <w:b/>
          <w:szCs w:val="24"/>
        </w:rPr>
        <w:t>2 straipsnio pakeitimas</w:t>
      </w:r>
    </w:p>
    <w:p w14:paraId="6F5B9AEC" w14:textId="77777777" w:rsidR="00504EE2" w:rsidRDefault="00782527">
      <w:pPr>
        <w:widowControl w:val="0"/>
        <w:suppressAutoHyphens/>
        <w:spacing w:line="360" w:lineRule="auto"/>
        <w:ind w:firstLine="72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1</w:t>
      </w:r>
      <w:r>
        <w:rPr>
          <w:rFonts w:eastAsia="Calibri"/>
          <w:bCs/>
          <w:szCs w:val="24"/>
        </w:rPr>
        <w:t>. Pakeisti 2 straipsnio 2 dalį ir ją išdėstyti taip:</w:t>
      </w:r>
    </w:p>
    <w:p w14:paraId="6F5B9AED" w14:textId="77777777" w:rsidR="00504EE2" w:rsidRDefault="0078252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>Preparatas</w:t>
      </w:r>
      <w:r>
        <w:rPr>
          <w:szCs w:val="24"/>
        </w:rPr>
        <w:t xml:space="preserve"> – bet kokios fizinės būsenos dozuotas ar nedozuotas mišinys, kurio sudėtyje yra </w:t>
      </w:r>
      <w:r>
        <w:rPr>
          <w:bCs/>
          <w:szCs w:val="24"/>
        </w:rPr>
        <w:t>viena ar kelios</w:t>
      </w:r>
      <w:r>
        <w:rPr>
          <w:szCs w:val="24"/>
        </w:rPr>
        <w:t xml:space="preserve"> </w:t>
      </w:r>
      <w:r>
        <w:rPr>
          <w:bCs/>
          <w:szCs w:val="24"/>
        </w:rPr>
        <w:t>narkotinės ar psichotropinės medžiagos</w:t>
      </w:r>
      <w:r>
        <w:rPr>
          <w:szCs w:val="24"/>
        </w:rPr>
        <w:t xml:space="preserve"> </w:t>
      </w:r>
      <w:r>
        <w:rPr>
          <w:bCs/>
          <w:szCs w:val="24"/>
        </w:rPr>
        <w:t>arba viena ar daugiau naujų psichoaktyviųjų medžiagų,</w:t>
      </w:r>
      <w:r>
        <w:rPr>
          <w:szCs w:val="24"/>
        </w:rPr>
        <w:t xml:space="preserve"> arba viena ar kelios narkotinės ar psichotropinės medžiagos terapinėmis dozėmis.“</w:t>
      </w:r>
    </w:p>
    <w:p w14:paraId="6F5B9AEE" w14:textId="77777777" w:rsidR="00504EE2" w:rsidRDefault="00782527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Pakeisti 2 straipsnio 13 dalį ir ją išdėstyti taip:</w:t>
      </w:r>
    </w:p>
    <w:p w14:paraId="6F5B9AEF" w14:textId="77777777" w:rsidR="00504EE2" w:rsidRDefault="00782527">
      <w:pPr>
        <w:spacing w:line="360" w:lineRule="auto"/>
        <w:ind w:firstLine="720"/>
        <w:jc w:val="both"/>
        <w:rPr>
          <w:rFonts w:eastAsia="Calibri"/>
          <w:b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>.</w:t>
      </w:r>
      <w:r>
        <w:rPr>
          <w:rFonts w:eastAsia="Calibri"/>
          <w:b/>
          <w:szCs w:val="24"/>
        </w:rPr>
        <w:t xml:space="preserve"> Nauja psichoaktyvioji medžiaga </w:t>
      </w:r>
      <w:r>
        <w:rPr>
          <w:rFonts w:eastAsia="Calibri"/>
          <w:szCs w:val="24"/>
        </w:rPr>
        <w:t>– grynos formos arba preparate esanti medžiaga, kuriai netaikoma nei 1961 m. Jungtinių Tautų bendroji narkotinių medžiagų konvencija su pakeitimais, padarytais 1972 m. protokolu, nei 197</w:t>
      </w:r>
      <w:bookmarkStart w:id="0" w:name="_GoBack"/>
      <w:bookmarkEnd w:id="0"/>
      <w:r>
        <w:rPr>
          <w:rFonts w:eastAsia="Calibri"/>
          <w:szCs w:val="24"/>
        </w:rPr>
        <w:t>1 m. Jungtinių Tautų psichotropini</w:t>
      </w:r>
      <w:r>
        <w:rPr>
          <w:rFonts w:eastAsia="Calibri"/>
          <w:szCs w:val="24"/>
        </w:rPr>
        <w:t>ų medžiagų konvencija (toliau kartu – konvencijos), tačiau kuri gali kelti riziką sveikatai arba socialinę riziką, panašią į medžiagų, kurioms taikomos konvencijos, keliamą riziką.“</w:t>
      </w:r>
      <w:r>
        <w:rPr>
          <w:rFonts w:eastAsia="Calibri"/>
          <w:b/>
          <w:szCs w:val="24"/>
        </w:rPr>
        <w:t xml:space="preserve"> </w:t>
      </w:r>
    </w:p>
    <w:p w14:paraId="6F5B9AF0" w14:textId="77777777" w:rsidR="00504EE2" w:rsidRDefault="00782527">
      <w:pPr>
        <w:spacing w:line="360" w:lineRule="auto"/>
        <w:ind w:firstLine="720"/>
        <w:jc w:val="both"/>
        <w:rPr>
          <w:rFonts w:eastAsia="Calibri"/>
          <w:szCs w:val="24"/>
        </w:rPr>
      </w:pPr>
    </w:p>
    <w:p w14:paraId="6F5B9AF1" w14:textId="77777777" w:rsidR="00504EE2" w:rsidRDefault="00782527">
      <w:pPr>
        <w:spacing w:line="360" w:lineRule="auto"/>
        <w:ind w:firstLine="72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 xml:space="preserve"> straipsnis. </w:t>
      </w:r>
      <w:r>
        <w:rPr>
          <w:rFonts w:eastAsia="Calibri"/>
          <w:b/>
          <w:szCs w:val="24"/>
        </w:rPr>
        <w:t>3 straipsnio pakeitimas</w:t>
      </w:r>
    </w:p>
    <w:p w14:paraId="6F5B9AF2" w14:textId="77777777" w:rsidR="00504EE2" w:rsidRDefault="00782527">
      <w:pPr>
        <w:spacing w:line="360" w:lineRule="auto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Pakeisti 3 straipsnį i</w:t>
      </w:r>
      <w:r>
        <w:rPr>
          <w:rFonts w:eastAsia="Calibri"/>
          <w:szCs w:val="24"/>
        </w:rPr>
        <w:t>r jį išdėstyti taip:</w:t>
      </w:r>
    </w:p>
    <w:p w14:paraId="6F5B9AF3" w14:textId="77777777" w:rsidR="00504EE2" w:rsidRDefault="00782527">
      <w:pPr>
        <w:spacing w:line="360" w:lineRule="auto"/>
        <w:ind w:left="2268" w:hanging="1548"/>
        <w:jc w:val="both"/>
        <w:rPr>
          <w:rFonts w:eastAsia="Calibri"/>
          <w:b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b/>
          <w:szCs w:val="24"/>
        </w:rPr>
        <w:t>3</w:t>
      </w:r>
      <w:r>
        <w:rPr>
          <w:rFonts w:eastAsia="Calibri"/>
          <w:b/>
          <w:szCs w:val="24"/>
        </w:rPr>
        <w:t xml:space="preserve"> straipsnis. </w:t>
      </w:r>
      <w:r>
        <w:rPr>
          <w:rFonts w:eastAsia="Calibri"/>
          <w:b/>
          <w:szCs w:val="24"/>
        </w:rPr>
        <w:t>Narkotinių ir psichotropinių medžiagų, kurioms taikoma viena iš konvencijų, ar</w:t>
      </w:r>
      <w:r>
        <w:rPr>
          <w:b/>
          <w:szCs w:val="24"/>
        </w:rPr>
        <w:t xml:space="preserve"> </w:t>
      </w:r>
      <w:r>
        <w:rPr>
          <w:rFonts w:eastAsia="Calibri"/>
          <w:b/>
          <w:szCs w:val="24"/>
        </w:rPr>
        <w:t>naujų psichoaktyviųjų medžiagų įrašymas į kontroliuojamų medžiagų sąrašus</w:t>
      </w:r>
    </w:p>
    <w:p w14:paraId="6F5B9AF4" w14:textId="77777777" w:rsidR="00504EE2" w:rsidRDefault="0078252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Narkotinės ir psichotropinės medžiagos, kurioms taikoma vi</w:t>
      </w:r>
      <w:r>
        <w:rPr>
          <w:szCs w:val="24"/>
        </w:rPr>
        <w:t>ena iš konvencijų, ar n</w:t>
      </w:r>
      <w:r>
        <w:rPr>
          <w:rFonts w:eastAsia="Calibri"/>
          <w:szCs w:val="24"/>
        </w:rPr>
        <w:t xml:space="preserve">aujos psichoaktyviosios </w:t>
      </w:r>
      <w:r>
        <w:rPr>
          <w:szCs w:val="24"/>
        </w:rPr>
        <w:t>medžiagos į kontroliuojamų medžiagų sąrašus įrašomos nurodant konkrečių medžiagų ar jų darinių grupės pavadinimus.</w:t>
      </w:r>
    </w:p>
    <w:p w14:paraId="6F5B9AF5" w14:textId="77777777" w:rsidR="00504EE2" w:rsidRDefault="0078252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Jeigu į kontroliuojamų medžiagų sąrašus įrašomos konkrečios narkotinės ir psichotropinė</w:t>
      </w:r>
      <w:r>
        <w:rPr>
          <w:szCs w:val="24"/>
        </w:rPr>
        <w:t>s medžiagos, kurioms taikoma viena iš konvencijų, ar n</w:t>
      </w:r>
      <w:r>
        <w:rPr>
          <w:rFonts w:eastAsia="Calibri"/>
          <w:szCs w:val="24"/>
        </w:rPr>
        <w:t xml:space="preserve">aujos psichoaktyviosios </w:t>
      </w:r>
      <w:r>
        <w:rPr>
          <w:szCs w:val="24"/>
        </w:rPr>
        <w:t xml:space="preserve">medžiagos, kontroliuojamų medžiagų sąrašuose nurodomi jų tarptautiniai pavadinimai, jeigu </w:t>
      </w:r>
      <w:r>
        <w:rPr>
          <w:szCs w:val="24"/>
        </w:rPr>
        <w:lastRenderedPageBreak/>
        <w:t xml:space="preserve">tarptautinių pavadinimų nėra, – cheminiai pavadinimai. Kartu su šiais pavadinimais gali </w:t>
      </w:r>
      <w:r>
        <w:rPr>
          <w:szCs w:val="24"/>
        </w:rPr>
        <w:t>būti nurodomas ir kitoks, vartotojams labiau žinomas, pavadinimas.</w:t>
      </w:r>
    </w:p>
    <w:p w14:paraId="6F5B9AF6" w14:textId="77777777" w:rsidR="00504EE2" w:rsidRDefault="0078252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Jeigu į kontroliuojamų medžiagų sąrašus įrašoma narkotinės ar psichotropinės medžiagos, kuriai taikoma viena iš konvencijų, ar n</w:t>
      </w:r>
      <w:r>
        <w:rPr>
          <w:rFonts w:eastAsia="Calibri"/>
          <w:szCs w:val="24"/>
        </w:rPr>
        <w:t xml:space="preserve">aujos psichoaktyviosios </w:t>
      </w:r>
      <w:r>
        <w:rPr>
          <w:szCs w:val="24"/>
        </w:rPr>
        <w:t xml:space="preserve">medžiagos darinių grupė, jos </w:t>
      </w:r>
      <w:r>
        <w:rPr>
          <w:szCs w:val="24"/>
        </w:rPr>
        <w:t>pavadinimas sudaromas remiantis medžiagos, iš kurios jis gautas, pavadinimu, nurodant konkrečius cheminės struktūros keitimus. Tokiu atveju suprantama, kad visiems dariniams, priskirtiniems šiai grupei, automatiškai taikomas tas pats kontrolės režimas kaip</w:t>
      </w:r>
      <w:r>
        <w:rPr>
          <w:szCs w:val="24"/>
        </w:rPr>
        <w:t xml:space="preserve"> ir pagrindiniam junginiui.</w:t>
      </w:r>
    </w:p>
    <w:p w14:paraId="6F5B9AF7" w14:textId="77777777" w:rsidR="00504EE2" w:rsidRDefault="00782527">
      <w:pPr>
        <w:spacing w:line="360" w:lineRule="auto"/>
        <w:ind w:firstLine="782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>. 2004 m. spalio 25 d. Tarybos pamatinio sprendimo 2004/757/TVR, nustatančio būtiniausias nuostatas dėl nusikalstamų veikų sudėties požymių ir bausmių neteisėtos prekybos narkotikais srityje (OL 2004 L 335, p. 8), priede (t</w:t>
      </w:r>
      <w:r>
        <w:rPr>
          <w:rFonts w:eastAsia="Calibri"/>
          <w:szCs w:val="24"/>
        </w:rPr>
        <w:t>oliau – priedas) nurodytos naujos psichoaktyviosios medžiagos į kontroliuojamų medžiagų sąrašus įrašomos ne vėliau kaip per 6 mėnesius nuo Europos Komisijos deleguotojo akto, kuriuo keičiamas priedas, įsigaliojimo.“</w:t>
      </w:r>
    </w:p>
    <w:p w14:paraId="6F5B9AF8" w14:textId="77777777" w:rsidR="00504EE2" w:rsidRDefault="00782527">
      <w:pPr>
        <w:spacing w:line="360" w:lineRule="auto"/>
        <w:ind w:firstLine="720"/>
        <w:rPr>
          <w:rFonts w:eastAsia="Calibri"/>
          <w:szCs w:val="24"/>
        </w:rPr>
      </w:pPr>
    </w:p>
    <w:p w14:paraId="6F5B9AF9" w14:textId="77777777" w:rsidR="00504EE2" w:rsidRDefault="00782527">
      <w:pPr>
        <w:spacing w:line="360" w:lineRule="auto"/>
        <w:ind w:firstLine="720"/>
        <w:rPr>
          <w:rFonts w:eastAsia="Calibri"/>
          <w:b/>
          <w:bCs/>
          <w:szCs w:val="24"/>
        </w:rPr>
      </w:pPr>
      <w:r>
        <w:rPr>
          <w:rFonts w:eastAsia="Calibri"/>
          <w:b/>
          <w:szCs w:val="24"/>
        </w:rPr>
        <w:t>3</w:t>
      </w:r>
      <w:r>
        <w:rPr>
          <w:rFonts w:eastAsia="Calibri"/>
          <w:b/>
          <w:bCs/>
          <w:szCs w:val="24"/>
        </w:rPr>
        <w:t xml:space="preserve"> straipsnis. </w:t>
      </w:r>
      <w:r>
        <w:rPr>
          <w:rFonts w:eastAsia="Calibri"/>
          <w:b/>
          <w:bCs/>
          <w:szCs w:val="24"/>
        </w:rPr>
        <w:t>Įstatymo prie</w:t>
      </w:r>
      <w:r>
        <w:rPr>
          <w:rFonts w:eastAsia="Calibri"/>
          <w:b/>
          <w:bCs/>
          <w:szCs w:val="24"/>
        </w:rPr>
        <w:t>do pakeitimas</w:t>
      </w:r>
    </w:p>
    <w:p w14:paraId="6F5B9AFA" w14:textId="77777777" w:rsidR="00504EE2" w:rsidRDefault="00782527">
      <w:pPr>
        <w:spacing w:line="360" w:lineRule="auto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Papildyti Įstatymo priedą 6 punktu:</w:t>
      </w:r>
    </w:p>
    <w:p w14:paraId="6F5B9AFB" w14:textId="77777777" w:rsidR="00504EE2" w:rsidRDefault="00782527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bCs/>
          <w:szCs w:val="24"/>
        </w:rPr>
        <w:t>6</w:t>
      </w:r>
      <w:r>
        <w:rPr>
          <w:rFonts w:eastAsia="Calibri"/>
          <w:bCs/>
          <w:szCs w:val="24"/>
        </w:rPr>
        <w:t>. 2017 m. lapkričio 15 d.</w:t>
      </w:r>
      <w:r>
        <w:rPr>
          <w:rFonts w:eastAsia="Calibri"/>
          <w:szCs w:val="24"/>
        </w:rPr>
        <w:t xml:space="preserve"> </w:t>
      </w:r>
      <w:r>
        <w:rPr>
          <w:rFonts w:eastAsia="Calibri"/>
          <w:bCs/>
          <w:szCs w:val="24"/>
        </w:rPr>
        <w:t xml:space="preserve">Europos Parlamento ir Tarybos direktyva (ES) 2017/2103, kuria, siekiant į termino „narkotikas“ apibrėžtį įtraukti naujų psichoaktyviųjų medžiagų, iš dalies keičiamas Tarybos </w:t>
      </w:r>
      <w:r>
        <w:rPr>
          <w:rFonts w:eastAsia="Calibri"/>
          <w:bCs/>
          <w:szCs w:val="24"/>
        </w:rPr>
        <w:t>pamatinis sprendimas 2004/757/TVR ir kuria panaikinamas Tarybos sprendimas 2005/387/TVR (OL 2017 L 305, p. 12).</w:t>
      </w:r>
      <w:r>
        <w:rPr>
          <w:rFonts w:eastAsia="Calibri"/>
          <w:szCs w:val="24"/>
        </w:rPr>
        <w:t>“</w:t>
      </w:r>
    </w:p>
    <w:p w14:paraId="6F5B9AFC" w14:textId="77777777" w:rsidR="00504EE2" w:rsidRDefault="00782527">
      <w:pPr>
        <w:spacing w:line="360" w:lineRule="auto"/>
        <w:ind w:firstLine="720"/>
        <w:jc w:val="both"/>
      </w:pPr>
    </w:p>
    <w:p w14:paraId="6F5B9AFD" w14:textId="77777777" w:rsidR="00504EE2" w:rsidRDefault="00782527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6F5B9AFE" w14:textId="77777777" w:rsidR="00504EE2" w:rsidRDefault="00504EE2">
      <w:pPr>
        <w:spacing w:line="360" w:lineRule="auto"/>
        <w:rPr>
          <w:i/>
          <w:szCs w:val="24"/>
        </w:rPr>
      </w:pPr>
    </w:p>
    <w:p w14:paraId="6F5B9AFF" w14:textId="77777777" w:rsidR="00504EE2" w:rsidRDefault="00504EE2">
      <w:pPr>
        <w:spacing w:line="360" w:lineRule="auto"/>
        <w:rPr>
          <w:i/>
          <w:szCs w:val="24"/>
        </w:rPr>
      </w:pPr>
    </w:p>
    <w:p w14:paraId="6F5B9B00" w14:textId="77777777" w:rsidR="00504EE2" w:rsidRDefault="00504EE2">
      <w:pPr>
        <w:spacing w:line="360" w:lineRule="auto"/>
      </w:pPr>
    </w:p>
    <w:p w14:paraId="6F5B9B01" w14:textId="77777777" w:rsidR="00504EE2" w:rsidRDefault="00782527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504EE2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B9B06" w14:textId="77777777" w:rsidR="00504EE2" w:rsidRDefault="0078252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F5B9B07" w14:textId="77777777" w:rsidR="00504EE2" w:rsidRDefault="0078252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9B0C" w14:textId="77777777" w:rsidR="00504EE2" w:rsidRDefault="0078252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F5B9B0D" w14:textId="77777777" w:rsidR="00504EE2" w:rsidRDefault="00504EE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9B0E" w14:textId="77777777" w:rsidR="00504EE2" w:rsidRDefault="00504EE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9B10" w14:textId="77777777" w:rsidR="00504EE2" w:rsidRDefault="00504EE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B9B04" w14:textId="77777777" w:rsidR="00504EE2" w:rsidRDefault="0078252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F5B9B05" w14:textId="77777777" w:rsidR="00504EE2" w:rsidRDefault="0078252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9B08" w14:textId="77777777" w:rsidR="00504EE2" w:rsidRDefault="0078252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F5B9B09" w14:textId="77777777" w:rsidR="00504EE2" w:rsidRDefault="00504EE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9B0A" w14:textId="77777777" w:rsidR="00504EE2" w:rsidRDefault="00782527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6F5B9B0B" w14:textId="77777777" w:rsidR="00504EE2" w:rsidRDefault="00504EE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9B0F" w14:textId="77777777" w:rsidR="00504EE2" w:rsidRDefault="00504EE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CE"/>
    <w:rsid w:val="002F7DCE"/>
    <w:rsid w:val="00504EE2"/>
    <w:rsid w:val="007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B9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825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8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825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8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3005</Characters>
  <Application>Microsoft Office Word</Application>
  <DocSecurity>0</DocSecurity>
  <Lines>25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3423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2018-11-27T14:42:00Z</dcterms:created>
  <dc:creator>MANIUŠKIENĖ Violeta</dc:creator>
  <lastModifiedBy>TRAPINSKIENĖ Aušrinė</lastModifiedBy>
  <lastPrinted>2004-12-10T05:45:00Z</lastPrinted>
  <dcterms:modified xsi:type="dcterms:W3CDTF">2018-11-27T15:45:00Z</dcterms:modified>
  <revision>3</revision>
</coreProperties>
</file>